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5E63A" w14:textId="561E1277" w:rsidR="00FC2AD4" w:rsidRDefault="00FC2AD4" w:rsidP="00FC2AD4">
      <w:pPr>
        <w:pStyle w:val="Ingenmellomrom"/>
        <w:rPr>
          <w:i/>
          <w:iCs/>
        </w:rPr>
      </w:pPr>
      <w:r>
        <w:rPr>
          <w:i/>
          <w:iCs/>
        </w:rPr>
        <w:t>Mal utarbeidet av Verdipapirforetakenes Forbund 6. januar 2026</w:t>
      </w:r>
      <w:r>
        <w:rPr>
          <w:i/>
          <w:iCs/>
        </w:rPr>
        <w:tab/>
      </w:r>
    </w:p>
    <w:p w14:paraId="43098E38" w14:textId="77777777" w:rsidR="00FC2AD4" w:rsidRDefault="00FC2AD4" w:rsidP="00FC2AD4">
      <w:pPr>
        <w:pStyle w:val="Ingenmellomrom"/>
        <w:rPr>
          <w:i/>
          <w:iCs/>
        </w:rPr>
      </w:pPr>
    </w:p>
    <w:p w14:paraId="3A840A30" w14:textId="77777777" w:rsidR="00FC2AD4" w:rsidRPr="00FC2AD4" w:rsidRDefault="00FC2AD4" w:rsidP="00FC2AD4">
      <w:pPr>
        <w:pStyle w:val="Ingenmellomrom"/>
        <w:rPr>
          <w:b/>
          <w:caps/>
        </w:rPr>
      </w:pPr>
    </w:p>
    <w:p w14:paraId="062F964C" w14:textId="3991F738" w:rsidR="009A0A22" w:rsidRPr="00B07D5D" w:rsidRDefault="00D3146E" w:rsidP="00100627">
      <w:pPr>
        <w:pStyle w:val="Ingenmellomrom"/>
        <w:jc w:val="center"/>
        <w:rPr>
          <w:b/>
          <w:caps/>
          <w:lang w:val="en-US"/>
        </w:rPr>
      </w:pPr>
      <w:r w:rsidRPr="00B07D5D">
        <w:rPr>
          <w:b/>
          <w:caps/>
          <w:lang w:val="en-US"/>
        </w:rPr>
        <w:t>[</w:t>
      </w:r>
      <w:r w:rsidRPr="00B07D5D">
        <w:rPr>
          <w:b/>
          <w:caps/>
          <w:highlight w:val="yellow"/>
          <w:lang w:val="en-US"/>
        </w:rPr>
        <w:t>issuer</w:t>
      </w:r>
      <w:r w:rsidRPr="00B07D5D">
        <w:rPr>
          <w:b/>
          <w:caps/>
          <w:lang w:val="en-US"/>
        </w:rPr>
        <w:t>] | Share Lending Agreement</w:t>
      </w:r>
    </w:p>
    <w:p w14:paraId="4855211E" w14:textId="04E456F1" w:rsidR="00100627" w:rsidRPr="00B07D5D" w:rsidRDefault="00100627" w:rsidP="00100627">
      <w:pPr>
        <w:pStyle w:val="Ingenmellomrom"/>
        <w:rPr>
          <w:lang w:val="en-US"/>
        </w:rPr>
      </w:pPr>
    </w:p>
    <w:p w14:paraId="2CCBB438" w14:textId="77777777" w:rsidR="00FC2AD4" w:rsidRDefault="00FC2AD4" w:rsidP="00100627">
      <w:pPr>
        <w:pStyle w:val="Ingenmellomrom"/>
        <w:rPr>
          <w:lang w:val="en-US"/>
        </w:rPr>
      </w:pPr>
    </w:p>
    <w:p w14:paraId="0D2A938A" w14:textId="42540835" w:rsidR="00100627" w:rsidRPr="00B07D5D" w:rsidRDefault="00100627" w:rsidP="00100627">
      <w:pPr>
        <w:pStyle w:val="Ingenmellomrom"/>
        <w:rPr>
          <w:lang w:val="en-US"/>
        </w:rPr>
      </w:pPr>
      <w:r w:rsidRPr="00B07D5D">
        <w:rPr>
          <w:lang w:val="en-US"/>
        </w:rPr>
        <w:t>This share lending agreement (the “</w:t>
      </w:r>
      <w:r w:rsidRPr="00B07D5D">
        <w:rPr>
          <w:b/>
          <w:bCs/>
          <w:lang w:val="en-US"/>
        </w:rPr>
        <w:t>Agreement</w:t>
      </w:r>
      <w:r w:rsidRPr="00B07D5D">
        <w:rPr>
          <w:lang w:val="en-US"/>
        </w:rPr>
        <w:t>”) is made and entered into on [</w:t>
      </w:r>
      <w:r w:rsidR="00EE22CC" w:rsidRPr="001D7CA0">
        <w:rPr>
          <w:highlight w:val="yellow"/>
          <w:lang w:val="en-US"/>
        </w:rPr>
        <w:t>date</w:t>
      </w:r>
      <w:r w:rsidRPr="00B07D5D">
        <w:rPr>
          <w:lang w:val="en-US"/>
        </w:rPr>
        <w:t>], by and between</w:t>
      </w:r>
      <w:r w:rsidR="00EE22CC">
        <w:rPr>
          <w:rStyle w:val="Fotnotereferanse"/>
          <w:lang w:val="en-US"/>
        </w:rPr>
        <w:footnoteReference w:id="1"/>
      </w:r>
      <w:r w:rsidRPr="00B07D5D">
        <w:rPr>
          <w:lang w:val="en-US"/>
        </w:rPr>
        <w:t xml:space="preserve">: </w:t>
      </w:r>
    </w:p>
    <w:p w14:paraId="734D7A9D" w14:textId="7E65C4DA" w:rsidR="00100627" w:rsidRPr="00B07D5D" w:rsidRDefault="00100627" w:rsidP="00100627">
      <w:pPr>
        <w:pStyle w:val="Ingenmellomrom"/>
        <w:rPr>
          <w:lang w:val="en-US"/>
        </w:rPr>
      </w:pPr>
    </w:p>
    <w:p w14:paraId="213DEE16" w14:textId="581783A7" w:rsidR="00100627" w:rsidRPr="00B07D5D" w:rsidRDefault="00100627" w:rsidP="00BD78F6">
      <w:pPr>
        <w:pStyle w:val="Ingenmellomrom"/>
        <w:numPr>
          <w:ilvl w:val="0"/>
          <w:numId w:val="2"/>
        </w:numPr>
        <w:ind w:left="567" w:hanging="567"/>
        <w:rPr>
          <w:lang w:val="en-US"/>
        </w:rPr>
      </w:pPr>
      <w:r w:rsidRPr="00B07D5D">
        <w:rPr>
          <w:lang w:val="en-US"/>
        </w:rPr>
        <w:t>[</w:t>
      </w:r>
      <w:r w:rsidRPr="00B07D5D">
        <w:rPr>
          <w:highlight w:val="yellow"/>
          <w:lang w:val="en-US"/>
        </w:rPr>
        <w:t>issuer</w:t>
      </w:r>
      <w:r w:rsidRPr="00B07D5D">
        <w:rPr>
          <w:lang w:val="en-US"/>
        </w:rPr>
        <w:t>], with business registration no. [</w:t>
      </w:r>
      <w:r w:rsidRPr="00B07D5D">
        <w:rPr>
          <w:highlight w:val="yellow"/>
          <w:lang w:val="en-US"/>
        </w:rPr>
        <w:t>●</w:t>
      </w:r>
      <w:r w:rsidRPr="00B07D5D">
        <w:rPr>
          <w:lang w:val="en-US"/>
        </w:rPr>
        <w:t>] (the “</w:t>
      </w:r>
      <w:r w:rsidRPr="00B07D5D">
        <w:rPr>
          <w:b/>
          <w:bCs/>
          <w:lang w:val="en-US"/>
        </w:rPr>
        <w:t>Company</w:t>
      </w:r>
      <w:r w:rsidRPr="00B07D5D">
        <w:rPr>
          <w:lang w:val="en-US"/>
        </w:rPr>
        <w:t xml:space="preserve">”); </w:t>
      </w:r>
    </w:p>
    <w:p w14:paraId="70E66685" w14:textId="77777777" w:rsidR="00100627" w:rsidRPr="00B07D5D" w:rsidRDefault="00100627" w:rsidP="00BD78F6">
      <w:pPr>
        <w:pStyle w:val="Ingenmellomrom"/>
        <w:rPr>
          <w:lang w:val="en-US"/>
        </w:rPr>
      </w:pPr>
    </w:p>
    <w:p w14:paraId="278DDA2D" w14:textId="74A24906" w:rsidR="00100627" w:rsidRPr="00B07D5D" w:rsidRDefault="00100627" w:rsidP="00BD78F6">
      <w:pPr>
        <w:pStyle w:val="Ingenmellomrom"/>
        <w:numPr>
          <w:ilvl w:val="0"/>
          <w:numId w:val="2"/>
        </w:numPr>
        <w:ind w:left="567" w:hanging="567"/>
        <w:rPr>
          <w:lang w:val="en-US"/>
        </w:rPr>
      </w:pPr>
      <w:r w:rsidRPr="00B07D5D">
        <w:rPr>
          <w:lang w:val="en-US"/>
        </w:rPr>
        <w:t>[</w:t>
      </w:r>
      <w:r w:rsidRPr="00B07D5D">
        <w:rPr>
          <w:highlight w:val="yellow"/>
          <w:lang w:val="en-US"/>
        </w:rPr>
        <w:t>share lender 1</w:t>
      </w:r>
      <w:r w:rsidRPr="00B07D5D">
        <w:rPr>
          <w:lang w:val="en-US"/>
        </w:rPr>
        <w:t>], with business registration no. [</w:t>
      </w:r>
      <w:r w:rsidRPr="00B07D5D">
        <w:rPr>
          <w:highlight w:val="yellow"/>
          <w:lang w:val="en-US"/>
        </w:rPr>
        <w:t>●</w:t>
      </w:r>
      <w:r w:rsidRPr="00B07D5D">
        <w:rPr>
          <w:lang w:val="en-US"/>
        </w:rPr>
        <w:t>] (“</w:t>
      </w:r>
      <w:r w:rsidRPr="00B07D5D">
        <w:rPr>
          <w:b/>
          <w:bCs/>
          <w:lang w:val="en-US"/>
        </w:rPr>
        <w:t>Share Lender 1</w:t>
      </w:r>
      <w:r w:rsidRPr="00B07D5D">
        <w:rPr>
          <w:lang w:val="en-US"/>
        </w:rPr>
        <w:t xml:space="preserve">”); </w:t>
      </w:r>
    </w:p>
    <w:p w14:paraId="2A40D6DA" w14:textId="77777777" w:rsidR="00100627" w:rsidRPr="00B07D5D" w:rsidRDefault="00100627" w:rsidP="00BD78F6">
      <w:pPr>
        <w:pStyle w:val="Ingenmellomrom"/>
        <w:rPr>
          <w:lang w:val="en-US"/>
        </w:rPr>
      </w:pPr>
    </w:p>
    <w:p w14:paraId="724A5F8F" w14:textId="7D9ED864" w:rsidR="00100627" w:rsidRPr="00B07D5D" w:rsidRDefault="00100627" w:rsidP="00BD78F6">
      <w:pPr>
        <w:pStyle w:val="Ingenmellomrom"/>
        <w:numPr>
          <w:ilvl w:val="0"/>
          <w:numId w:val="2"/>
        </w:numPr>
        <w:ind w:left="567" w:hanging="567"/>
        <w:rPr>
          <w:lang w:val="en-US"/>
        </w:rPr>
      </w:pPr>
      <w:r w:rsidRPr="00B07D5D">
        <w:rPr>
          <w:lang w:val="en-US"/>
        </w:rPr>
        <w:t>[</w:t>
      </w:r>
      <w:r w:rsidRPr="00B07D5D">
        <w:rPr>
          <w:highlight w:val="yellow"/>
          <w:lang w:val="en-US"/>
        </w:rPr>
        <w:t>share lender 2</w:t>
      </w:r>
      <w:r w:rsidRPr="00B07D5D">
        <w:rPr>
          <w:lang w:val="en-US"/>
        </w:rPr>
        <w:t>], with business registration no. [</w:t>
      </w:r>
      <w:r w:rsidRPr="00B07D5D">
        <w:rPr>
          <w:highlight w:val="yellow"/>
          <w:lang w:val="en-US"/>
        </w:rPr>
        <w:t>●</w:t>
      </w:r>
      <w:r w:rsidRPr="00B07D5D">
        <w:rPr>
          <w:lang w:val="en-US"/>
        </w:rPr>
        <w:t>] (“</w:t>
      </w:r>
      <w:r w:rsidRPr="00B07D5D">
        <w:rPr>
          <w:b/>
          <w:bCs/>
          <w:lang w:val="en-US"/>
        </w:rPr>
        <w:t>Share Lender 2</w:t>
      </w:r>
      <w:r w:rsidRPr="00B07D5D">
        <w:rPr>
          <w:lang w:val="en-US"/>
        </w:rPr>
        <w:t>”</w:t>
      </w:r>
      <w:r w:rsidR="00BD78F6" w:rsidRPr="00B07D5D">
        <w:rPr>
          <w:lang w:val="en-US"/>
        </w:rPr>
        <w:t>, and together with Share Lender 1, the “</w:t>
      </w:r>
      <w:r w:rsidR="00BD78F6" w:rsidRPr="00B07D5D">
        <w:rPr>
          <w:b/>
          <w:bCs/>
          <w:lang w:val="en-US"/>
        </w:rPr>
        <w:t>Share Lenders</w:t>
      </w:r>
      <w:r w:rsidR="00BD78F6" w:rsidRPr="00B07D5D">
        <w:rPr>
          <w:lang w:val="en-US"/>
        </w:rPr>
        <w:t>” or individually a “</w:t>
      </w:r>
      <w:r w:rsidR="00BD78F6" w:rsidRPr="00B07D5D">
        <w:rPr>
          <w:b/>
          <w:bCs/>
          <w:lang w:val="en-US"/>
        </w:rPr>
        <w:t>Share Lender</w:t>
      </w:r>
      <w:r w:rsidR="00BD78F6" w:rsidRPr="00B07D5D">
        <w:rPr>
          <w:lang w:val="en-US"/>
        </w:rPr>
        <w:t>”</w:t>
      </w:r>
      <w:r w:rsidRPr="00B07D5D">
        <w:rPr>
          <w:lang w:val="en-US"/>
        </w:rPr>
        <w:t xml:space="preserve">); and </w:t>
      </w:r>
    </w:p>
    <w:p w14:paraId="6E247E07" w14:textId="77777777" w:rsidR="00100627" w:rsidRPr="00B07D5D" w:rsidRDefault="00100627" w:rsidP="00BD78F6">
      <w:pPr>
        <w:pStyle w:val="Ingenmellomrom"/>
        <w:rPr>
          <w:lang w:val="en-US"/>
        </w:rPr>
      </w:pPr>
    </w:p>
    <w:p w14:paraId="5498348A" w14:textId="39467B1F" w:rsidR="00100627" w:rsidRDefault="00100627" w:rsidP="00BD78F6">
      <w:pPr>
        <w:pStyle w:val="Ingenmellomrom"/>
        <w:numPr>
          <w:ilvl w:val="0"/>
          <w:numId w:val="2"/>
        </w:numPr>
        <w:ind w:left="567" w:hanging="567"/>
        <w:rPr>
          <w:lang w:val="en-US"/>
        </w:rPr>
      </w:pPr>
      <w:r w:rsidRPr="00B07D5D">
        <w:rPr>
          <w:lang w:val="en-US"/>
        </w:rPr>
        <w:t>[</w:t>
      </w:r>
      <w:r w:rsidRPr="00B07D5D">
        <w:rPr>
          <w:highlight w:val="yellow"/>
          <w:lang w:val="en-US"/>
        </w:rPr>
        <w:t>settlement agent</w:t>
      </w:r>
      <w:r w:rsidRPr="00B07D5D">
        <w:rPr>
          <w:lang w:val="en-US"/>
        </w:rPr>
        <w:t>], with business registration no. [</w:t>
      </w:r>
      <w:r w:rsidRPr="00B07D5D">
        <w:rPr>
          <w:highlight w:val="yellow"/>
          <w:lang w:val="en-US"/>
        </w:rPr>
        <w:t>●</w:t>
      </w:r>
      <w:r w:rsidRPr="00B07D5D">
        <w:rPr>
          <w:lang w:val="en-US"/>
        </w:rPr>
        <w:t>] (the “</w:t>
      </w:r>
      <w:r w:rsidRPr="00B07D5D">
        <w:rPr>
          <w:b/>
          <w:bCs/>
          <w:lang w:val="en-US"/>
        </w:rPr>
        <w:t>Settlement Agent</w:t>
      </w:r>
      <w:r w:rsidRPr="00B07D5D">
        <w:rPr>
          <w:lang w:val="en-US"/>
        </w:rPr>
        <w:t xml:space="preserve">”). </w:t>
      </w:r>
    </w:p>
    <w:p w14:paraId="50965FAB" w14:textId="77777777" w:rsidR="000F5902" w:rsidRDefault="000F5902" w:rsidP="00DF4831">
      <w:pPr>
        <w:pStyle w:val="Listeavsnitt"/>
        <w:rPr>
          <w:lang w:val="en-US"/>
        </w:rPr>
      </w:pPr>
    </w:p>
    <w:p w14:paraId="33E0F5EB" w14:textId="6ABBA93C" w:rsidR="000F5902" w:rsidRDefault="000F5902" w:rsidP="000F5902">
      <w:pPr>
        <w:pStyle w:val="Ingenmellomrom"/>
        <w:numPr>
          <w:ilvl w:val="0"/>
          <w:numId w:val="2"/>
        </w:numPr>
        <w:ind w:left="567" w:hanging="567"/>
        <w:rPr>
          <w:lang w:val="en-US"/>
        </w:rPr>
      </w:pPr>
      <w:r w:rsidRPr="00B07D5D">
        <w:rPr>
          <w:lang w:val="en-US"/>
        </w:rPr>
        <w:t>[</w:t>
      </w:r>
      <w:r w:rsidRPr="00DF4831">
        <w:rPr>
          <w:highlight w:val="yellow"/>
          <w:lang w:val="en-US"/>
        </w:rPr>
        <w:t>Manager</w:t>
      </w:r>
      <w:r w:rsidRPr="00B07D5D">
        <w:rPr>
          <w:lang w:val="en-US"/>
        </w:rPr>
        <w:t>], with business registration no. [</w:t>
      </w:r>
      <w:r w:rsidRPr="00B07D5D">
        <w:rPr>
          <w:highlight w:val="yellow"/>
          <w:lang w:val="en-US"/>
        </w:rPr>
        <w:t>●</w:t>
      </w:r>
      <w:r w:rsidRPr="00B07D5D">
        <w:rPr>
          <w:lang w:val="en-US"/>
        </w:rPr>
        <w:t>] (the “</w:t>
      </w:r>
      <w:r>
        <w:rPr>
          <w:b/>
          <w:bCs/>
          <w:lang w:val="en-US"/>
        </w:rPr>
        <w:t>X</w:t>
      </w:r>
      <w:r w:rsidRPr="00B07D5D">
        <w:rPr>
          <w:lang w:val="en-US"/>
        </w:rPr>
        <w:t xml:space="preserve">”). </w:t>
      </w:r>
    </w:p>
    <w:p w14:paraId="235F8541" w14:textId="77777777" w:rsidR="000F5902" w:rsidRDefault="000F5902" w:rsidP="00480491">
      <w:pPr>
        <w:pStyle w:val="Listeavsnitt"/>
        <w:rPr>
          <w:lang w:val="en-US"/>
        </w:rPr>
      </w:pPr>
    </w:p>
    <w:p w14:paraId="3C585271" w14:textId="73089C33" w:rsidR="000F5902" w:rsidRPr="006E6BCC" w:rsidRDefault="000F5902" w:rsidP="006E6BCC">
      <w:pPr>
        <w:pStyle w:val="Ingenmellomrom"/>
        <w:numPr>
          <w:ilvl w:val="0"/>
          <w:numId w:val="2"/>
        </w:numPr>
        <w:ind w:left="567" w:hanging="567"/>
        <w:rPr>
          <w:lang w:val="en-US"/>
        </w:rPr>
      </w:pPr>
      <w:r>
        <w:rPr>
          <w:lang w:val="en-US"/>
        </w:rPr>
        <w:t>[</w:t>
      </w:r>
      <w:r w:rsidRPr="00480491">
        <w:rPr>
          <w:highlight w:val="yellow"/>
          <w:lang w:val="en-US"/>
        </w:rPr>
        <w:t>Manager</w:t>
      </w:r>
      <w:r>
        <w:rPr>
          <w:lang w:val="en-US"/>
        </w:rPr>
        <w:t xml:space="preserve">], with business registration no. </w:t>
      </w:r>
      <w:r w:rsidRPr="00B07D5D">
        <w:rPr>
          <w:lang w:val="en-US"/>
        </w:rPr>
        <w:t>[</w:t>
      </w:r>
      <w:r w:rsidRPr="00B07D5D">
        <w:rPr>
          <w:highlight w:val="yellow"/>
          <w:lang w:val="en-US"/>
        </w:rPr>
        <w:t>●</w:t>
      </w:r>
      <w:r w:rsidRPr="00B07D5D">
        <w:rPr>
          <w:lang w:val="en-US"/>
        </w:rPr>
        <w:t>] (the “</w:t>
      </w:r>
      <w:r>
        <w:rPr>
          <w:b/>
          <w:bCs/>
          <w:lang w:val="en-US"/>
        </w:rPr>
        <w:t>Y</w:t>
      </w:r>
      <w:r w:rsidRPr="00B07D5D">
        <w:rPr>
          <w:lang w:val="en-US"/>
        </w:rPr>
        <w:t>”).</w:t>
      </w:r>
      <w:r w:rsidR="006E6BCC">
        <w:rPr>
          <w:lang w:val="en-US"/>
        </w:rPr>
        <w:t xml:space="preserve"> (jointly with [X] and the Settlement Agent referred to as the “</w:t>
      </w:r>
      <w:r w:rsidR="006E6BCC" w:rsidRPr="00480491">
        <w:rPr>
          <w:b/>
          <w:bCs/>
          <w:lang w:val="en-US"/>
        </w:rPr>
        <w:t>Managers</w:t>
      </w:r>
      <w:r w:rsidR="006E6BCC">
        <w:rPr>
          <w:lang w:val="en-US"/>
        </w:rPr>
        <w:t>” and individually as a “</w:t>
      </w:r>
      <w:r w:rsidR="006E6BCC" w:rsidRPr="00480491">
        <w:rPr>
          <w:b/>
          <w:bCs/>
          <w:lang w:val="en-US"/>
        </w:rPr>
        <w:t>Manager</w:t>
      </w:r>
      <w:r w:rsidR="006E6BCC">
        <w:rPr>
          <w:lang w:val="en-US"/>
        </w:rPr>
        <w:t>”</w:t>
      </w:r>
      <w:r w:rsidR="006E6BCC" w:rsidRPr="006E6BCC">
        <w:rPr>
          <w:lang w:val="en-US"/>
        </w:rPr>
        <w:t>)</w:t>
      </w:r>
    </w:p>
    <w:p w14:paraId="5FEE35E4" w14:textId="77777777" w:rsidR="000F5902" w:rsidRPr="00B07D5D" w:rsidRDefault="000F5902" w:rsidP="00480491">
      <w:pPr>
        <w:pStyle w:val="Ingenmellomrom"/>
        <w:ind w:left="567"/>
        <w:rPr>
          <w:lang w:val="en-US"/>
        </w:rPr>
      </w:pPr>
    </w:p>
    <w:p w14:paraId="20408A7A" w14:textId="77777777" w:rsidR="00100627" w:rsidRPr="00B07D5D" w:rsidRDefault="00100627" w:rsidP="00100627">
      <w:pPr>
        <w:pStyle w:val="Ingenmellomrom"/>
        <w:rPr>
          <w:lang w:val="en-US"/>
        </w:rPr>
      </w:pPr>
    </w:p>
    <w:p w14:paraId="270259EC" w14:textId="6099CE66" w:rsidR="00100627" w:rsidRPr="00B07D5D" w:rsidRDefault="00100627" w:rsidP="00100627">
      <w:pPr>
        <w:pStyle w:val="Ingenmellomrom"/>
        <w:rPr>
          <w:lang w:val="en-US"/>
        </w:rPr>
      </w:pPr>
      <w:r w:rsidRPr="00B07D5D">
        <w:rPr>
          <w:lang w:val="en-US"/>
        </w:rPr>
        <w:t>The Company, the Share Lender[</w:t>
      </w:r>
      <w:r w:rsidRPr="00B07D5D">
        <w:rPr>
          <w:highlight w:val="yellow"/>
          <w:lang w:val="en-US"/>
        </w:rPr>
        <w:t>s</w:t>
      </w:r>
      <w:r w:rsidRPr="00B07D5D">
        <w:rPr>
          <w:lang w:val="en-US"/>
        </w:rPr>
        <w:t>]</w:t>
      </w:r>
      <w:r w:rsidR="000F5902">
        <w:rPr>
          <w:lang w:val="en-US"/>
        </w:rPr>
        <w:t>, [Managers]</w:t>
      </w:r>
      <w:r w:rsidR="00BD78F6" w:rsidRPr="00B07D5D">
        <w:rPr>
          <w:lang w:val="en-US"/>
        </w:rPr>
        <w:t xml:space="preserve"> and the Settlement Agent are hereinafter collectively referred to as the “</w:t>
      </w:r>
      <w:r w:rsidR="00BD78F6" w:rsidRPr="00B07D5D">
        <w:rPr>
          <w:b/>
          <w:bCs/>
          <w:lang w:val="en-US"/>
        </w:rPr>
        <w:t>Parties</w:t>
      </w:r>
      <w:r w:rsidR="00BD78F6" w:rsidRPr="00B07D5D">
        <w:rPr>
          <w:lang w:val="en-US"/>
        </w:rPr>
        <w:t>” or individually, a “</w:t>
      </w:r>
      <w:r w:rsidR="00BD78F6" w:rsidRPr="00B07D5D">
        <w:rPr>
          <w:b/>
          <w:bCs/>
          <w:lang w:val="en-US"/>
        </w:rPr>
        <w:t>Party</w:t>
      </w:r>
      <w:r w:rsidR="00BD78F6" w:rsidRPr="00B07D5D">
        <w:rPr>
          <w:lang w:val="en-US"/>
        </w:rPr>
        <w:t xml:space="preserve">”. </w:t>
      </w:r>
    </w:p>
    <w:p w14:paraId="0C42DDE4" w14:textId="7C471984" w:rsidR="00BD78F6" w:rsidRPr="00B07D5D" w:rsidRDefault="00BD78F6" w:rsidP="00100627">
      <w:pPr>
        <w:pStyle w:val="Ingenmellomrom"/>
        <w:rPr>
          <w:lang w:val="en-US"/>
        </w:rPr>
      </w:pPr>
    </w:p>
    <w:p w14:paraId="4EAAC4CE" w14:textId="3BEC9246" w:rsidR="00BD78F6" w:rsidRPr="00B07D5D" w:rsidRDefault="00BD78F6" w:rsidP="00100627">
      <w:pPr>
        <w:pStyle w:val="Ingenmellomrom"/>
        <w:rPr>
          <w:lang w:val="en-US"/>
        </w:rPr>
      </w:pPr>
      <w:r w:rsidRPr="00B07D5D">
        <w:rPr>
          <w:lang w:val="en-US"/>
        </w:rPr>
        <w:t xml:space="preserve">Whereas: </w:t>
      </w:r>
    </w:p>
    <w:p w14:paraId="7DB457F9" w14:textId="0A9FF5C7" w:rsidR="00BD78F6" w:rsidRPr="00B07D5D" w:rsidRDefault="00BD78F6" w:rsidP="00100627">
      <w:pPr>
        <w:pStyle w:val="Ingenmellomrom"/>
        <w:rPr>
          <w:lang w:val="en-US"/>
        </w:rPr>
      </w:pPr>
    </w:p>
    <w:p w14:paraId="35A492C2" w14:textId="32CF0333" w:rsidR="00BD78F6" w:rsidRPr="00B07D5D" w:rsidRDefault="00D93D06" w:rsidP="00574852">
      <w:pPr>
        <w:pStyle w:val="Ingenmellomrom"/>
        <w:numPr>
          <w:ilvl w:val="0"/>
          <w:numId w:val="3"/>
        </w:numPr>
        <w:ind w:left="567" w:hanging="567"/>
        <w:rPr>
          <w:lang w:val="en-US"/>
        </w:rPr>
      </w:pPr>
      <w:r w:rsidRPr="1F22191A">
        <w:rPr>
          <w:lang w:val="en-US"/>
        </w:rPr>
        <w:t>[</w:t>
      </w:r>
      <w:r w:rsidRPr="1F22191A">
        <w:rPr>
          <w:highlight w:val="yellow"/>
          <w:lang w:val="en-US"/>
        </w:rPr>
        <w:t>managers, other than the Settlement Agent</w:t>
      </w:r>
      <w:r w:rsidRPr="1F22191A">
        <w:rPr>
          <w:lang w:val="en-US"/>
        </w:rPr>
        <w:t>] and the Settlement Agent have been engaged by the Company to act as joint bookrunners for a contemplated offer of new shares in the Company, each with a par value of [</w:t>
      </w:r>
      <w:r w:rsidRPr="1F22191A">
        <w:rPr>
          <w:highlight w:val="yellow"/>
          <w:lang w:val="en-US"/>
        </w:rPr>
        <w:t>NOK</w:t>
      </w:r>
      <w:r w:rsidRPr="1F22191A">
        <w:rPr>
          <w:lang w:val="en-US"/>
        </w:rPr>
        <w:t>] [</w:t>
      </w:r>
      <w:r w:rsidRPr="1F22191A">
        <w:rPr>
          <w:highlight w:val="yellow"/>
          <w:lang w:val="en-US"/>
        </w:rPr>
        <w:t>●</w:t>
      </w:r>
      <w:r w:rsidRPr="1F22191A">
        <w:rPr>
          <w:lang w:val="en-US"/>
        </w:rPr>
        <w:t>] (the “</w:t>
      </w:r>
      <w:r w:rsidRPr="1F22191A">
        <w:rPr>
          <w:b/>
          <w:bCs/>
          <w:lang w:val="en-US"/>
        </w:rPr>
        <w:t>Offer Shares</w:t>
      </w:r>
      <w:r w:rsidRPr="1F22191A">
        <w:rPr>
          <w:lang w:val="en-US"/>
        </w:rPr>
        <w:t>”), to raise gross proceeds of approx. [</w:t>
      </w:r>
      <w:r w:rsidRPr="1F22191A">
        <w:rPr>
          <w:highlight w:val="yellow"/>
          <w:lang w:val="en-US"/>
        </w:rPr>
        <w:t>NOK</w:t>
      </w:r>
      <w:r w:rsidRPr="1F22191A">
        <w:rPr>
          <w:lang w:val="en-US"/>
        </w:rPr>
        <w:t>] [</w:t>
      </w:r>
      <w:r w:rsidRPr="1F22191A">
        <w:rPr>
          <w:highlight w:val="yellow"/>
          <w:lang w:val="en-US"/>
        </w:rPr>
        <w:t>●</w:t>
      </w:r>
      <w:r w:rsidRPr="1F22191A">
        <w:rPr>
          <w:lang w:val="en-US"/>
        </w:rPr>
        <w:t>] through a private placement (the “</w:t>
      </w:r>
      <w:r w:rsidRPr="1F22191A">
        <w:rPr>
          <w:b/>
          <w:bCs/>
          <w:lang w:val="en-US"/>
        </w:rPr>
        <w:t>Offering</w:t>
      </w:r>
      <w:r w:rsidRPr="1F22191A">
        <w:rPr>
          <w:lang w:val="en-US"/>
        </w:rPr>
        <w:t xml:space="preserve">”). </w:t>
      </w:r>
    </w:p>
    <w:p w14:paraId="7FBB378A" w14:textId="77777777" w:rsidR="00D93D06" w:rsidRPr="00B07D5D" w:rsidRDefault="00D93D06" w:rsidP="00D93D06">
      <w:pPr>
        <w:pStyle w:val="Ingenmellomrom"/>
        <w:ind w:left="567"/>
        <w:rPr>
          <w:lang w:val="en-US"/>
        </w:rPr>
      </w:pPr>
    </w:p>
    <w:p w14:paraId="510FB38F" w14:textId="100F257A" w:rsidR="004E40E2" w:rsidRDefault="00D93D06" w:rsidP="00A00C1D">
      <w:pPr>
        <w:pStyle w:val="Ingenmellomrom"/>
        <w:numPr>
          <w:ilvl w:val="0"/>
          <w:numId w:val="3"/>
        </w:numPr>
        <w:ind w:left="567" w:hanging="567"/>
        <w:rPr>
          <w:lang w:val="en-US"/>
        </w:rPr>
      </w:pPr>
      <w:r w:rsidRPr="5BCEC9B9">
        <w:rPr>
          <w:lang w:val="en-US"/>
        </w:rPr>
        <w:t>The Settlement Agent is acting on behalf of the Managers in connection with the share lending from the Share Lender[</w:t>
      </w:r>
      <w:r w:rsidRPr="5BCEC9B9">
        <w:rPr>
          <w:highlight w:val="yellow"/>
          <w:lang w:val="en-US"/>
        </w:rPr>
        <w:t>s</w:t>
      </w:r>
      <w:r w:rsidRPr="5BCEC9B9">
        <w:rPr>
          <w:lang w:val="en-US"/>
        </w:rPr>
        <w:t>] as described herein. The terms of the engagement letter entered into between the Managers and the Company on [</w:t>
      </w:r>
      <w:r w:rsidRPr="5BCEC9B9">
        <w:rPr>
          <w:highlight w:val="yellow"/>
          <w:lang w:val="en-US"/>
        </w:rPr>
        <w:t>date</w:t>
      </w:r>
      <w:r w:rsidRPr="5BCEC9B9">
        <w:rPr>
          <w:lang w:val="en-US"/>
        </w:rPr>
        <w:t>] for the Offering (including its standard terms and conditions and general business terms) (the “</w:t>
      </w:r>
      <w:r w:rsidRPr="5BCEC9B9">
        <w:rPr>
          <w:b/>
          <w:bCs/>
          <w:lang w:val="en-US"/>
        </w:rPr>
        <w:t>Engagement Letter</w:t>
      </w:r>
      <w:r w:rsidRPr="5BCEC9B9">
        <w:rPr>
          <w:lang w:val="en-US"/>
        </w:rPr>
        <w:t>”) shall</w:t>
      </w:r>
      <w:r w:rsidR="00464574">
        <w:rPr>
          <w:lang w:val="en-US"/>
        </w:rPr>
        <w:t xml:space="preserve"> also</w:t>
      </w:r>
      <w:r w:rsidRPr="5BCEC9B9">
        <w:rPr>
          <w:lang w:val="en-US"/>
        </w:rPr>
        <w:t xml:space="preserve"> apply</w:t>
      </w:r>
      <w:r w:rsidR="00464574">
        <w:rPr>
          <w:lang w:val="en-US"/>
        </w:rPr>
        <w:t xml:space="preserve"> in relation to the rights and obligations set out in this Agreement as between the Company and the Manager</w:t>
      </w:r>
      <w:r w:rsidR="533F9BB5" w:rsidRPr="5BCEC9B9">
        <w:rPr>
          <w:lang w:val="en-US"/>
        </w:rPr>
        <w:t xml:space="preserve">, </w:t>
      </w:r>
      <w:r w:rsidR="75A6C762" w:rsidRPr="5BCEC9B9">
        <w:rPr>
          <w:lang w:val="en-US"/>
        </w:rPr>
        <w:t>unless otherwise set out herein</w:t>
      </w:r>
      <w:r w:rsidR="00CD2171" w:rsidRPr="5BCEC9B9">
        <w:rPr>
          <w:lang w:val="en-US"/>
        </w:rPr>
        <w:t>.</w:t>
      </w:r>
      <w:r w:rsidR="008901A1" w:rsidRPr="5BCEC9B9">
        <w:rPr>
          <w:lang w:val="en-US"/>
        </w:rPr>
        <w:t xml:space="preserve"> </w:t>
      </w:r>
    </w:p>
    <w:p w14:paraId="568773C0" w14:textId="516DC768" w:rsidR="5BCEC9B9" w:rsidRDefault="5BCEC9B9" w:rsidP="0052288A">
      <w:pPr>
        <w:pStyle w:val="Ingenmellomrom"/>
        <w:ind w:left="567" w:hanging="567"/>
        <w:rPr>
          <w:lang w:val="en-US"/>
        </w:rPr>
      </w:pPr>
    </w:p>
    <w:p w14:paraId="1BA6E825" w14:textId="11AADD0C" w:rsidR="00D93D06" w:rsidRPr="00B07D5D" w:rsidRDefault="00CD42BD" w:rsidP="00D93D06">
      <w:pPr>
        <w:pStyle w:val="Ingenmellomrom"/>
        <w:numPr>
          <w:ilvl w:val="0"/>
          <w:numId w:val="3"/>
        </w:numPr>
        <w:ind w:left="567" w:hanging="567"/>
        <w:rPr>
          <w:lang w:val="en-US"/>
        </w:rPr>
      </w:pPr>
      <w:r>
        <w:rPr>
          <w:rStyle w:val="Fotnotereferanse"/>
          <w:lang w:val="en-US"/>
        </w:rPr>
        <w:footnoteReference w:id="2"/>
      </w:r>
      <w:r w:rsidR="00D93D06" w:rsidRPr="00B07D5D">
        <w:rPr>
          <w:lang w:val="en-US"/>
        </w:rPr>
        <w:t xml:space="preserve">The Offer Shares will be resolved issued by the Company’s </w:t>
      </w:r>
      <w:r w:rsidR="00A71BCD">
        <w:rPr>
          <w:lang w:val="en-US"/>
        </w:rPr>
        <w:t>[</w:t>
      </w:r>
      <w:r w:rsidR="00A71BCD" w:rsidRPr="00CD2171">
        <w:rPr>
          <w:highlight w:val="yellow"/>
          <w:lang w:val="en-US"/>
        </w:rPr>
        <w:t>extraordinary general meeting expected to be held on [</w:t>
      </w:r>
      <w:r w:rsidR="00EE22CC" w:rsidRPr="568BF08C">
        <w:rPr>
          <w:highlight w:val="yellow"/>
          <w:lang w:val="en-US"/>
        </w:rPr>
        <w:t>date</w:t>
      </w:r>
      <w:r w:rsidR="00A71BCD" w:rsidRPr="00CD2171">
        <w:rPr>
          <w:highlight w:val="yellow"/>
          <w:lang w:val="en-US"/>
        </w:rPr>
        <w:t>]</w:t>
      </w:r>
      <w:r w:rsidRPr="00CD2171">
        <w:rPr>
          <w:highlight w:val="yellow"/>
          <w:lang w:val="en-US"/>
        </w:rPr>
        <w:t xml:space="preserve"> (the “</w:t>
      </w:r>
      <w:r w:rsidRPr="00CD2171">
        <w:rPr>
          <w:b/>
          <w:bCs/>
          <w:highlight w:val="yellow"/>
          <w:lang w:val="en-US"/>
        </w:rPr>
        <w:t>EGM</w:t>
      </w:r>
      <w:r w:rsidRPr="00CD2171">
        <w:rPr>
          <w:highlight w:val="yellow"/>
          <w:lang w:val="en-US"/>
        </w:rPr>
        <w:t>”)</w:t>
      </w:r>
      <w:r w:rsidR="0093367A">
        <w:rPr>
          <w:lang w:val="en-US"/>
        </w:rPr>
        <w:t>]</w:t>
      </w:r>
      <w:r w:rsidR="00A71BCD">
        <w:rPr>
          <w:lang w:val="en-US"/>
        </w:rPr>
        <w:t>/[</w:t>
      </w:r>
      <w:r w:rsidR="00D93D06" w:rsidRPr="00CD2171">
        <w:rPr>
          <w:highlight w:val="yellow"/>
          <w:lang w:val="en-US"/>
        </w:rPr>
        <w:t>board of directors (the “</w:t>
      </w:r>
      <w:r w:rsidR="00D93D06" w:rsidRPr="00CD2171">
        <w:rPr>
          <w:b/>
          <w:bCs/>
          <w:highlight w:val="yellow"/>
          <w:lang w:val="en-US"/>
        </w:rPr>
        <w:t>Board</w:t>
      </w:r>
      <w:r w:rsidR="00D93D06" w:rsidRPr="00CD2171">
        <w:rPr>
          <w:highlight w:val="yellow"/>
          <w:lang w:val="en-US"/>
        </w:rPr>
        <w:t>”) pursuant to an authorization to increase the share capital which was granted by the Company’s shareholders at the general meeting held on [</w:t>
      </w:r>
      <w:r w:rsidR="00D93D06" w:rsidRPr="568BF08C">
        <w:rPr>
          <w:highlight w:val="yellow"/>
          <w:lang w:val="en-US"/>
        </w:rPr>
        <w:t>●</w:t>
      </w:r>
      <w:r w:rsidR="00D93D06" w:rsidRPr="00CD2171">
        <w:rPr>
          <w:highlight w:val="yellow"/>
          <w:lang w:val="en-US"/>
        </w:rPr>
        <w:t xml:space="preserve">] </w:t>
      </w:r>
      <w:r w:rsidRPr="00CD2171">
        <w:rPr>
          <w:highlight w:val="yellow"/>
          <w:lang w:val="en-US"/>
        </w:rPr>
        <w:t>[</w:t>
      </w:r>
      <w:r w:rsidR="00D93D06" w:rsidRPr="00CD2171">
        <w:rPr>
          <w:highlight w:val="yellow"/>
          <w:lang w:val="en-US"/>
        </w:rPr>
        <w:t>(as registered in the Norwegian Register of Business Enterprises (Nw. “Foretaksregisteret”) (the “</w:t>
      </w:r>
      <w:r w:rsidR="00D93D06" w:rsidRPr="00CD2171">
        <w:rPr>
          <w:b/>
          <w:bCs/>
          <w:highlight w:val="yellow"/>
          <w:lang w:val="en-US"/>
        </w:rPr>
        <w:t>NRBE</w:t>
      </w:r>
      <w:r w:rsidR="00D93D06" w:rsidRPr="00CD2171">
        <w:rPr>
          <w:highlight w:val="yellow"/>
          <w:lang w:val="en-US"/>
        </w:rPr>
        <w:t>”) on [</w:t>
      </w:r>
      <w:r w:rsidR="00D93D06" w:rsidRPr="568BF08C">
        <w:rPr>
          <w:highlight w:val="yellow"/>
          <w:lang w:val="en-US"/>
        </w:rPr>
        <w:t>●</w:t>
      </w:r>
      <w:r w:rsidR="00D93D06" w:rsidRPr="00CD2171">
        <w:rPr>
          <w:highlight w:val="yellow"/>
          <w:lang w:val="en-US"/>
        </w:rPr>
        <w:t>])</w:t>
      </w:r>
      <w:r w:rsidRPr="00CD2171">
        <w:rPr>
          <w:highlight w:val="yellow"/>
          <w:lang w:val="en-US"/>
        </w:rPr>
        <w:t>]</w:t>
      </w:r>
      <w:r w:rsidR="00D93D06" w:rsidRPr="00CD2171">
        <w:rPr>
          <w:highlight w:val="yellow"/>
          <w:lang w:val="en-US"/>
        </w:rPr>
        <w:t>.</w:t>
      </w:r>
      <w:r w:rsidR="00A71BCD" w:rsidRPr="00CD2171">
        <w:rPr>
          <w:highlight w:val="yellow"/>
          <w:lang w:val="en-US"/>
        </w:rPr>
        <w:t>]</w:t>
      </w:r>
    </w:p>
    <w:p w14:paraId="2174C9BF" w14:textId="77777777" w:rsidR="00D93D06" w:rsidRPr="00B07D5D" w:rsidRDefault="00D93D06" w:rsidP="00D93D06">
      <w:pPr>
        <w:pStyle w:val="Ingenmellomrom"/>
        <w:rPr>
          <w:lang w:val="en-US"/>
        </w:rPr>
      </w:pPr>
    </w:p>
    <w:p w14:paraId="59E0D5BE" w14:textId="7CD103A5" w:rsidR="00D93D06" w:rsidRPr="00B07D5D" w:rsidRDefault="00D93D06" w:rsidP="00D93D06">
      <w:pPr>
        <w:pStyle w:val="Ingenmellomrom"/>
        <w:numPr>
          <w:ilvl w:val="0"/>
          <w:numId w:val="3"/>
        </w:numPr>
        <w:ind w:left="567" w:hanging="567"/>
        <w:rPr>
          <w:lang w:val="en-US"/>
        </w:rPr>
      </w:pPr>
      <w:r w:rsidRPr="00B07D5D">
        <w:rPr>
          <w:lang w:val="en-US"/>
        </w:rPr>
        <w:lastRenderedPageBreak/>
        <w:t>According to the terms of application for the Offering (the “</w:t>
      </w:r>
      <w:r w:rsidRPr="00B07D5D">
        <w:rPr>
          <w:b/>
          <w:bCs/>
          <w:lang w:val="en-US"/>
        </w:rPr>
        <w:t>Terms of Application</w:t>
      </w:r>
      <w:r w:rsidRPr="00B07D5D">
        <w:rPr>
          <w:lang w:val="en-US"/>
        </w:rPr>
        <w:t>”), the allocated Offer Shares will be sought delivered to the relevant investors other than the Share Lender[</w:t>
      </w:r>
      <w:r w:rsidRPr="00B07D5D">
        <w:rPr>
          <w:highlight w:val="yellow"/>
          <w:lang w:val="en-US"/>
        </w:rPr>
        <w:t>s</w:t>
      </w:r>
      <w:r w:rsidRPr="00B07D5D">
        <w:rPr>
          <w:lang w:val="en-US"/>
        </w:rPr>
        <w:t>] on a delivery-versus-payment (“</w:t>
      </w:r>
      <w:r w:rsidRPr="00B07D5D">
        <w:rPr>
          <w:b/>
          <w:bCs/>
          <w:lang w:val="en-US"/>
        </w:rPr>
        <w:t>DvP</w:t>
      </w:r>
      <w:r w:rsidRPr="00B07D5D">
        <w:rPr>
          <w:lang w:val="en-US"/>
        </w:rPr>
        <w:t>”) basis.</w:t>
      </w:r>
    </w:p>
    <w:p w14:paraId="0B62269C" w14:textId="77777777" w:rsidR="00D93D06" w:rsidRPr="00B07D5D" w:rsidRDefault="00D93D06" w:rsidP="00D93D06">
      <w:pPr>
        <w:pStyle w:val="Ingenmellomrom"/>
        <w:rPr>
          <w:lang w:val="en-US"/>
        </w:rPr>
      </w:pPr>
    </w:p>
    <w:p w14:paraId="5207AC19" w14:textId="45C80F4E" w:rsidR="00D93D06" w:rsidRPr="00B07D5D" w:rsidRDefault="00D93D06" w:rsidP="00D93D06">
      <w:pPr>
        <w:pStyle w:val="Ingenmellomrom"/>
        <w:numPr>
          <w:ilvl w:val="0"/>
          <w:numId w:val="3"/>
        </w:numPr>
        <w:ind w:left="567" w:hanging="567"/>
        <w:rPr>
          <w:lang w:val="en-US"/>
        </w:rPr>
      </w:pPr>
      <w:r w:rsidRPr="5AA75F43">
        <w:rPr>
          <w:lang w:val="en-US"/>
        </w:rPr>
        <w:t xml:space="preserve">To facilitate DvP settlement for subscribers </w:t>
      </w:r>
      <w:r w:rsidR="00CD42BD">
        <w:rPr>
          <w:lang w:val="en-US"/>
        </w:rPr>
        <w:t>being allocated Offer Shares in the Offer</w:t>
      </w:r>
      <w:r w:rsidR="00EE22CC">
        <w:rPr>
          <w:lang w:val="en-US"/>
        </w:rPr>
        <w:t>ing</w:t>
      </w:r>
      <w:r w:rsidR="00CD42BD">
        <w:rPr>
          <w:lang w:val="en-US"/>
        </w:rPr>
        <w:t xml:space="preserve"> [(</w:t>
      </w:r>
      <w:r w:rsidRPr="00CD2171">
        <w:rPr>
          <w:highlight w:val="yellow"/>
          <w:lang w:val="en-US"/>
        </w:rPr>
        <w:t>other than the Share Lender[</w:t>
      </w:r>
      <w:r w:rsidRPr="00EE22CC">
        <w:rPr>
          <w:highlight w:val="yellow"/>
          <w:lang w:val="en-US"/>
        </w:rPr>
        <w:t>s</w:t>
      </w:r>
      <w:r w:rsidRPr="00CD2171">
        <w:rPr>
          <w:highlight w:val="yellow"/>
          <w:lang w:val="en-US"/>
        </w:rPr>
        <w:t>])</w:t>
      </w:r>
      <w:r w:rsidR="00CD42BD" w:rsidRPr="00CD2171">
        <w:rPr>
          <w:highlight w:val="yellow"/>
          <w:lang w:val="en-US"/>
        </w:rPr>
        <w:t>]</w:t>
      </w:r>
      <w:r w:rsidRPr="5AA75F43">
        <w:rPr>
          <w:lang w:val="en-US"/>
        </w:rPr>
        <w:t xml:space="preserve"> in the Offering</w:t>
      </w:r>
      <w:r w:rsidR="00CD42BD">
        <w:rPr>
          <w:lang w:val="en-US"/>
        </w:rPr>
        <w:t xml:space="preserve"> (the “</w:t>
      </w:r>
      <w:r w:rsidR="00CD42BD" w:rsidRPr="00CD2171">
        <w:rPr>
          <w:b/>
          <w:bCs/>
          <w:lang w:val="en-US"/>
        </w:rPr>
        <w:t>Investors</w:t>
      </w:r>
      <w:r w:rsidR="00CD42BD">
        <w:rPr>
          <w:lang w:val="en-US"/>
        </w:rPr>
        <w:t>”)</w:t>
      </w:r>
      <w:r w:rsidRPr="5AA75F43">
        <w:rPr>
          <w:lang w:val="en-US"/>
        </w:rPr>
        <w:t>, it has been agreed that the Share Lender[</w:t>
      </w:r>
      <w:r w:rsidRPr="5AA75F43">
        <w:rPr>
          <w:highlight w:val="yellow"/>
          <w:lang w:val="en-US"/>
        </w:rPr>
        <w:t>s</w:t>
      </w:r>
      <w:r w:rsidRPr="5AA75F43">
        <w:rPr>
          <w:lang w:val="en-US"/>
        </w:rPr>
        <w:t>] will make available to the Settlement Agent existing shares in the Company</w:t>
      </w:r>
      <w:r w:rsidR="00CD42BD">
        <w:rPr>
          <w:lang w:val="en-US"/>
        </w:rPr>
        <w:t xml:space="preserve"> that are already listed</w:t>
      </w:r>
      <w:r w:rsidRPr="5AA75F43">
        <w:rPr>
          <w:lang w:val="en-US"/>
        </w:rPr>
        <w:t xml:space="preserve">, on the terms and </w:t>
      </w:r>
      <w:r w:rsidR="00F5096B" w:rsidRPr="5AA75F43">
        <w:rPr>
          <w:lang w:val="en-US"/>
        </w:rPr>
        <w:t xml:space="preserve">subject to the </w:t>
      </w:r>
      <w:r w:rsidRPr="5AA75F43">
        <w:rPr>
          <w:lang w:val="en-US"/>
        </w:rPr>
        <w:t>conditions set out in this Agreement.</w:t>
      </w:r>
    </w:p>
    <w:p w14:paraId="2947638D" w14:textId="32C2E433" w:rsidR="00D93D06" w:rsidRPr="00B07D5D" w:rsidRDefault="00D93D06" w:rsidP="00D93D06">
      <w:pPr>
        <w:pStyle w:val="Ingenmellomrom"/>
        <w:rPr>
          <w:lang w:val="en-US"/>
        </w:rPr>
      </w:pPr>
    </w:p>
    <w:p w14:paraId="79B95968" w14:textId="2867A99D" w:rsidR="00D93D06" w:rsidRPr="00B07D5D" w:rsidRDefault="00D93D06" w:rsidP="00D93D06">
      <w:pPr>
        <w:pStyle w:val="Ingenmellomrom"/>
        <w:rPr>
          <w:lang w:val="en-US"/>
        </w:rPr>
      </w:pPr>
      <w:r w:rsidRPr="00B07D5D">
        <w:rPr>
          <w:lang w:val="en-US"/>
        </w:rPr>
        <w:t xml:space="preserve">Now, therefore, it is hereby agreed as follows: </w:t>
      </w:r>
    </w:p>
    <w:p w14:paraId="02228068" w14:textId="77777777" w:rsidR="00D93D06" w:rsidRPr="00B07D5D" w:rsidRDefault="00D93D06" w:rsidP="00D93D06">
      <w:pPr>
        <w:pStyle w:val="Ingenmellomrom"/>
        <w:rPr>
          <w:lang w:val="en-US"/>
        </w:rPr>
      </w:pPr>
    </w:p>
    <w:p w14:paraId="3674062B" w14:textId="425AF5E1" w:rsidR="00D93D06" w:rsidRPr="00B07D5D" w:rsidRDefault="00D93D06" w:rsidP="00D93D06">
      <w:pPr>
        <w:pStyle w:val="Overskrift2"/>
        <w:rPr>
          <w:lang w:val="en-US"/>
        </w:rPr>
      </w:pPr>
      <w:r w:rsidRPr="00B07D5D">
        <w:rPr>
          <w:lang w:val="en-US"/>
        </w:rPr>
        <w:t>Share Lending</w:t>
      </w:r>
    </w:p>
    <w:p w14:paraId="36979427" w14:textId="010F5DB0" w:rsidR="00D93D06" w:rsidRPr="00B07D5D" w:rsidRDefault="00D93D06" w:rsidP="00F5096B">
      <w:pPr>
        <w:pStyle w:val="Ingenmellomrom"/>
        <w:numPr>
          <w:ilvl w:val="1"/>
          <w:numId w:val="4"/>
        </w:numPr>
        <w:ind w:left="567" w:hanging="567"/>
        <w:rPr>
          <w:lang w:val="en-US"/>
        </w:rPr>
      </w:pPr>
      <w:r w:rsidRPr="000F083A">
        <w:rPr>
          <w:lang w:val="en-US"/>
        </w:rPr>
        <w:t xml:space="preserve">In order to facilitate the agreed DvP settlement in respect of </w:t>
      </w:r>
      <w:r w:rsidR="00CD42BD" w:rsidRPr="000F083A">
        <w:rPr>
          <w:lang w:val="en-US"/>
        </w:rPr>
        <w:t xml:space="preserve">Investors </w:t>
      </w:r>
      <w:r w:rsidRPr="000F083A">
        <w:rPr>
          <w:lang w:val="en-US"/>
        </w:rPr>
        <w:t xml:space="preserve"> that are allocated Offer Shares in the Offering, the Share Lender[</w:t>
      </w:r>
      <w:r w:rsidRPr="00895523">
        <w:rPr>
          <w:highlight w:val="yellow"/>
          <w:lang w:val="en-US"/>
        </w:rPr>
        <w:t>s</w:t>
      </w:r>
      <w:r w:rsidRPr="000F083A">
        <w:rPr>
          <w:lang w:val="en-US"/>
        </w:rPr>
        <w:t>] hereby grant[</w:t>
      </w:r>
      <w:r w:rsidRPr="00895523">
        <w:rPr>
          <w:highlight w:val="yellow"/>
          <w:lang w:val="en-US"/>
        </w:rPr>
        <w:t>s</w:t>
      </w:r>
      <w:r w:rsidRPr="000F083A">
        <w:rPr>
          <w:lang w:val="en-US"/>
        </w:rPr>
        <w:t>] the Settlement Agent an irrevocable option (the “</w:t>
      </w:r>
      <w:r w:rsidR="00F5096B" w:rsidRPr="000F083A">
        <w:rPr>
          <w:b/>
          <w:bCs/>
          <w:lang w:val="en-US"/>
        </w:rPr>
        <w:t>Borrowing</w:t>
      </w:r>
      <w:r w:rsidRPr="000F083A">
        <w:rPr>
          <w:b/>
          <w:bCs/>
          <w:lang w:val="en-US"/>
        </w:rPr>
        <w:t xml:space="preserve"> Option</w:t>
      </w:r>
      <w:r w:rsidRPr="000F083A">
        <w:rPr>
          <w:lang w:val="en-US"/>
        </w:rPr>
        <w:t xml:space="preserve">”), conditional upon the </w:t>
      </w:r>
      <w:r w:rsidR="00CD42BD" w:rsidRPr="000F083A">
        <w:rPr>
          <w:lang w:val="en-US"/>
        </w:rPr>
        <w:t>[</w:t>
      </w:r>
      <w:r w:rsidR="00CD42BD" w:rsidRPr="00F809FC">
        <w:rPr>
          <w:lang w:val="en-US"/>
        </w:rPr>
        <w:t>EGM/</w:t>
      </w:r>
      <w:r w:rsidRPr="00F809FC">
        <w:rPr>
          <w:lang w:val="en-US"/>
        </w:rPr>
        <w:t>Board</w:t>
      </w:r>
      <w:r w:rsidR="00CD42BD" w:rsidRPr="000F083A">
        <w:rPr>
          <w:lang w:val="en-US"/>
        </w:rPr>
        <w:t>]</w:t>
      </w:r>
      <w:r w:rsidRPr="000F083A">
        <w:rPr>
          <w:lang w:val="en-US"/>
        </w:rPr>
        <w:t xml:space="preserve"> resolving to complete the Offering, to borrow up to [</w:t>
      </w:r>
      <w:r w:rsidRPr="00F809FC">
        <w:rPr>
          <w:rFonts w:cstheme="minorHAnsi"/>
          <w:lang w:val="en-US"/>
        </w:rPr>
        <w:t>●</w:t>
      </w:r>
      <w:r w:rsidRPr="000F083A">
        <w:rPr>
          <w:lang w:val="en-US"/>
        </w:rPr>
        <w:t>] existing shares in the Company (the “</w:t>
      </w:r>
      <w:r w:rsidRPr="000F083A">
        <w:rPr>
          <w:b/>
          <w:bCs/>
          <w:lang w:val="en-US"/>
        </w:rPr>
        <w:t>Borrowed Shares</w:t>
      </w:r>
      <w:r w:rsidRPr="000F083A">
        <w:rPr>
          <w:lang w:val="en-US"/>
        </w:rPr>
        <w:t xml:space="preserve">”), being the total number of shares allocated in the Offering </w:t>
      </w:r>
      <w:r w:rsidR="00CD42BD" w:rsidRPr="000F083A">
        <w:rPr>
          <w:lang w:val="en-US"/>
        </w:rPr>
        <w:t>[</w:t>
      </w:r>
      <w:r w:rsidRPr="00F809FC">
        <w:rPr>
          <w:lang w:val="en-US"/>
        </w:rPr>
        <w:t>less the shares allocated to the Share Lender</w:t>
      </w:r>
      <w:r w:rsidRPr="000F083A">
        <w:rPr>
          <w:lang w:val="en-US"/>
        </w:rPr>
        <w:t>[</w:t>
      </w:r>
      <w:r w:rsidRPr="00F809FC">
        <w:rPr>
          <w:lang w:val="en-US"/>
        </w:rPr>
        <w:t>s</w:t>
      </w:r>
      <w:r w:rsidRPr="000F083A">
        <w:rPr>
          <w:lang w:val="en-US"/>
        </w:rPr>
        <w:t>]</w:t>
      </w:r>
      <w:r w:rsidR="00CD42BD" w:rsidRPr="000F083A">
        <w:rPr>
          <w:lang w:val="en-US"/>
        </w:rPr>
        <w:t>]</w:t>
      </w:r>
      <w:r w:rsidRPr="000F083A">
        <w:rPr>
          <w:lang w:val="en-US"/>
        </w:rPr>
        <w:t>.</w:t>
      </w:r>
      <w:r w:rsidR="00F5096B" w:rsidRPr="000F083A">
        <w:rPr>
          <w:lang w:val="en-US"/>
        </w:rPr>
        <w:t xml:space="preserve"> </w:t>
      </w:r>
      <w:r w:rsidR="00F5096B" w:rsidRPr="000563EB">
        <w:rPr>
          <w:lang w:val="en-US"/>
        </w:rPr>
        <w:t>[</w:t>
      </w:r>
      <w:r w:rsidR="00F5096B" w:rsidRPr="000563EB">
        <w:rPr>
          <w:highlight w:val="yellow"/>
          <w:lang w:val="en-US"/>
        </w:rPr>
        <w:t>If multiple share lenders:]</w:t>
      </w:r>
      <w:r w:rsidR="00F5096B" w:rsidRPr="000563EB">
        <w:rPr>
          <w:lang w:val="en-US"/>
        </w:rPr>
        <w:t xml:space="preserve"> [</w:t>
      </w:r>
      <w:r w:rsidR="00F5096B" w:rsidRPr="00B07D5D">
        <w:rPr>
          <w:highlight w:val="yellow"/>
          <w:lang w:val="en-US"/>
        </w:rPr>
        <w:t xml:space="preserve">The maximum Borrowing Option of each Share Lender is set forth in </w:t>
      </w:r>
      <w:r w:rsidR="00F5096B" w:rsidRPr="00B07D5D">
        <w:rPr>
          <w:highlight w:val="yellow"/>
          <w:u w:val="single"/>
          <w:lang w:val="en-US"/>
        </w:rPr>
        <w:t>Schedule 1</w:t>
      </w:r>
      <w:r w:rsidR="00F5096B" w:rsidRPr="00B07D5D">
        <w:rPr>
          <w:highlight w:val="yellow"/>
          <w:lang w:val="en-US"/>
        </w:rPr>
        <w:t xml:space="preserve"> and shall be reduced proportionally if less than the maximum number of Offer Shares are issued in the Offering. For clarity, the lending obligations of the Share Lenders are several and not joint.</w:t>
      </w:r>
      <w:r w:rsidR="00F5096B" w:rsidRPr="00B07D5D">
        <w:rPr>
          <w:lang w:val="en-US"/>
        </w:rPr>
        <w:t>]</w:t>
      </w:r>
    </w:p>
    <w:p w14:paraId="48B29141" w14:textId="77777777" w:rsidR="00F5096B" w:rsidRPr="00B07D5D" w:rsidRDefault="00F5096B" w:rsidP="00F5096B">
      <w:pPr>
        <w:pStyle w:val="Ingenmellomrom"/>
        <w:ind w:left="567"/>
        <w:rPr>
          <w:lang w:val="en-US"/>
        </w:rPr>
      </w:pPr>
    </w:p>
    <w:p w14:paraId="013DE5F3" w14:textId="67CE8843" w:rsidR="00F5096B" w:rsidRPr="00B07D5D" w:rsidRDefault="00F5096B" w:rsidP="00F5096B">
      <w:pPr>
        <w:pStyle w:val="Ingenmellomrom"/>
        <w:numPr>
          <w:ilvl w:val="1"/>
          <w:numId w:val="4"/>
        </w:numPr>
        <w:ind w:left="567" w:hanging="567"/>
        <w:rPr>
          <w:lang w:val="en-US"/>
        </w:rPr>
      </w:pPr>
      <w:r w:rsidRPr="00B07D5D">
        <w:rPr>
          <w:lang w:val="en-US"/>
        </w:rPr>
        <w:t xml:space="preserve">The Settlement Agent shall use the Borrowed Shares only for the DvP settlement towards </w:t>
      </w:r>
      <w:r w:rsidR="00CD42BD">
        <w:rPr>
          <w:lang w:val="en-US"/>
        </w:rPr>
        <w:t xml:space="preserve">the Investors </w:t>
      </w:r>
      <w:r w:rsidRPr="00B07D5D">
        <w:rPr>
          <w:lang w:val="en-US"/>
        </w:rPr>
        <w:t xml:space="preserve">having been </w:t>
      </w:r>
      <w:r w:rsidR="00CD42BD">
        <w:rPr>
          <w:lang w:val="en-US"/>
        </w:rPr>
        <w:t xml:space="preserve">allocated </w:t>
      </w:r>
      <w:r w:rsidRPr="00B07D5D">
        <w:rPr>
          <w:lang w:val="en-US"/>
        </w:rPr>
        <w:t>Offer Shares in the Offering</w:t>
      </w:r>
      <w:r w:rsidR="00D6734B">
        <w:rPr>
          <w:lang w:val="en-US"/>
        </w:rPr>
        <w:t xml:space="preserve"> </w:t>
      </w:r>
      <w:r w:rsidR="00D6734B" w:rsidRPr="00B07D5D">
        <w:rPr>
          <w:lang w:val="en-US"/>
        </w:rPr>
        <w:t>[</w:t>
      </w:r>
      <w:r w:rsidR="00D6734B">
        <w:rPr>
          <w:highlight w:val="lightGray"/>
          <w:lang w:val="en-US"/>
        </w:rPr>
        <w:t>i</w:t>
      </w:r>
      <w:r w:rsidR="00D6734B" w:rsidRPr="00B07D5D">
        <w:rPr>
          <w:highlight w:val="lightGray"/>
          <w:lang w:val="en-US"/>
        </w:rPr>
        <w:t xml:space="preserve">f multiple </w:t>
      </w:r>
      <w:r w:rsidR="00A411E0">
        <w:rPr>
          <w:highlight w:val="lightGray"/>
          <w:lang w:val="en-US"/>
        </w:rPr>
        <w:t>managers</w:t>
      </w:r>
      <w:r w:rsidR="00D6734B" w:rsidRPr="00B07D5D">
        <w:rPr>
          <w:highlight w:val="lightGray"/>
          <w:lang w:val="en-US"/>
        </w:rPr>
        <w:t>:</w:t>
      </w:r>
      <w:r w:rsidR="00D6734B" w:rsidRPr="00B07D5D">
        <w:rPr>
          <w:lang w:val="en-US"/>
        </w:rPr>
        <w:t>]</w:t>
      </w:r>
      <w:r w:rsidR="00D6734B">
        <w:rPr>
          <w:lang w:val="en-US"/>
        </w:rPr>
        <w:t xml:space="preserve"> [</w:t>
      </w:r>
      <w:r w:rsidR="0073300F" w:rsidRPr="0073300F">
        <w:rPr>
          <w:highlight w:val="yellow"/>
          <w:lang w:val="en-US"/>
        </w:rPr>
        <w:t xml:space="preserve">(or, as the case may be, settlement towards the other Managers, for their settlement towards </w:t>
      </w:r>
      <w:r w:rsidR="00CD42BD">
        <w:rPr>
          <w:highlight w:val="yellow"/>
          <w:lang w:val="en-US"/>
        </w:rPr>
        <w:t xml:space="preserve">Investors </w:t>
      </w:r>
      <w:r w:rsidR="0073300F" w:rsidRPr="0073300F">
        <w:rPr>
          <w:highlight w:val="yellow"/>
          <w:lang w:val="en-US"/>
        </w:rPr>
        <w:t xml:space="preserve">having been </w:t>
      </w:r>
      <w:r w:rsidR="00CD42BD">
        <w:rPr>
          <w:highlight w:val="yellow"/>
          <w:lang w:val="en-US"/>
        </w:rPr>
        <w:t xml:space="preserve">allocated </w:t>
      </w:r>
      <w:r w:rsidR="0073300F" w:rsidRPr="0073300F">
        <w:rPr>
          <w:highlight w:val="yellow"/>
          <w:lang w:val="en-US"/>
        </w:rPr>
        <w:t>Offer Shares in the</w:t>
      </w:r>
      <w:r w:rsidR="000563EB">
        <w:rPr>
          <w:highlight w:val="yellow"/>
          <w:lang w:val="en-US"/>
        </w:rPr>
        <w:t xml:space="preserve"> Offering</w:t>
      </w:r>
      <w:r w:rsidR="0073300F">
        <w:rPr>
          <w:lang w:val="en-US"/>
        </w:rPr>
        <w:t>]</w:t>
      </w:r>
      <w:r w:rsidRPr="00B07D5D">
        <w:rPr>
          <w:lang w:val="en-US"/>
        </w:rPr>
        <w:t xml:space="preserve">. For the avoidance of doubt, the Borrowed Shares shall not be used for any purpose other than to facilitate timely settlement of </w:t>
      </w:r>
      <w:r w:rsidR="00CD42BD">
        <w:rPr>
          <w:lang w:val="en-US"/>
        </w:rPr>
        <w:t xml:space="preserve">allocated </w:t>
      </w:r>
      <w:r w:rsidRPr="00B07D5D">
        <w:rPr>
          <w:lang w:val="en-US"/>
        </w:rPr>
        <w:t xml:space="preserve">Offer Shares against payment of the corresponding subscription amount. </w:t>
      </w:r>
    </w:p>
    <w:p w14:paraId="251A37EC" w14:textId="77777777" w:rsidR="00F5096B" w:rsidRPr="00B07D5D" w:rsidRDefault="00F5096B" w:rsidP="00F5096B">
      <w:pPr>
        <w:pStyle w:val="Ingenmellomrom"/>
        <w:rPr>
          <w:lang w:val="en-US"/>
        </w:rPr>
      </w:pPr>
    </w:p>
    <w:p w14:paraId="60E0A4AC" w14:textId="6BF462BB" w:rsidR="00F5096B" w:rsidRPr="00B07D5D" w:rsidRDefault="00043C8C" w:rsidP="00F5096B">
      <w:pPr>
        <w:pStyle w:val="Ingenmellomrom"/>
        <w:numPr>
          <w:ilvl w:val="1"/>
          <w:numId w:val="4"/>
        </w:numPr>
        <w:ind w:left="567" w:hanging="567"/>
        <w:rPr>
          <w:lang w:val="en-US"/>
        </w:rPr>
      </w:pPr>
      <w:r w:rsidRPr="00B07D5D">
        <w:rPr>
          <w:lang w:val="en-US"/>
        </w:rPr>
        <w:t>[</w:t>
      </w:r>
      <w:r w:rsidRPr="00B07D5D">
        <w:rPr>
          <w:highlight w:val="yellow"/>
          <w:lang w:val="en-US"/>
        </w:rPr>
        <w:t>Each/The</w:t>
      </w:r>
      <w:r w:rsidRPr="00B07D5D">
        <w:rPr>
          <w:lang w:val="en-US"/>
        </w:rPr>
        <w:t>] Share Lender[</w:t>
      </w:r>
      <w:r w:rsidRPr="00B07D5D">
        <w:rPr>
          <w:highlight w:val="yellow"/>
          <w:lang w:val="en-US"/>
        </w:rPr>
        <w:t>s</w:t>
      </w:r>
      <w:r w:rsidRPr="00B07D5D">
        <w:rPr>
          <w:lang w:val="en-US"/>
        </w:rPr>
        <w:t xml:space="preserve">] </w:t>
      </w:r>
      <w:r w:rsidR="00F5096B" w:rsidRPr="00B07D5D">
        <w:rPr>
          <w:lang w:val="en-US"/>
        </w:rPr>
        <w:t xml:space="preserve">shall execute and deliver all necessary documents and give all necessary instructions to procure that upon delivery of the Borrowed Shares, all rights, titles and interests in </w:t>
      </w:r>
      <w:r w:rsidRPr="00B07D5D">
        <w:rPr>
          <w:lang w:val="en-US"/>
        </w:rPr>
        <w:t>its respective</w:t>
      </w:r>
      <w:r w:rsidR="00F5096B" w:rsidRPr="00B07D5D">
        <w:rPr>
          <w:lang w:val="en-US"/>
        </w:rPr>
        <w:t xml:space="preserve"> Borrowed Shares shall pass from </w:t>
      </w:r>
      <w:r w:rsidRPr="00B07D5D">
        <w:rPr>
          <w:lang w:val="en-US"/>
        </w:rPr>
        <w:t>[</w:t>
      </w:r>
      <w:r w:rsidRPr="00B07D5D">
        <w:rPr>
          <w:highlight w:val="yellow"/>
          <w:lang w:val="en-US"/>
        </w:rPr>
        <w:t>such/the</w:t>
      </w:r>
      <w:r w:rsidRPr="00B07D5D">
        <w:rPr>
          <w:lang w:val="en-US"/>
        </w:rPr>
        <w:t xml:space="preserve">] </w:t>
      </w:r>
      <w:r w:rsidR="00F5096B" w:rsidRPr="00B07D5D">
        <w:rPr>
          <w:lang w:val="en-US"/>
        </w:rPr>
        <w:t>Share Lender</w:t>
      </w:r>
      <w:r w:rsidRPr="00B07D5D">
        <w:rPr>
          <w:lang w:val="en-US"/>
        </w:rPr>
        <w:t>[</w:t>
      </w:r>
      <w:r w:rsidRPr="00B07D5D">
        <w:rPr>
          <w:highlight w:val="yellow"/>
          <w:lang w:val="en-US"/>
        </w:rPr>
        <w:t>s</w:t>
      </w:r>
      <w:r w:rsidRPr="00B07D5D">
        <w:rPr>
          <w:lang w:val="en-US"/>
        </w:rPr>
        <w:t>]</w:t>
      </w:r>
      <w:r w:rsidR="00F5096B" w:rsidRPr="00B07D5D">
        <w:rPr>
          <w:lang w:val="en-US"/>
        </w:rPr>
        <w:t xml:space="preserve"> to the Settlement Agent with full title, free from all liens, charges and encumbrances. Transfer of title shall take place upon delivery of the Borrowed Shares to the Settlement Agent’s VPS account (as further described in clause </w:t>
      </w:r>
      <w:r w:rsidRPr="00B07D5D">
        <w:rPr>
          <w:lang w:val="en-US"/>
        </w:rPr>
        <w:fldChar w:fldCharType="begin"/>
      </w:r>
      <w:r w:rsidRPr="00B07D5D">
        <w:rPr>
          <w:lang w:val="en-US"/>
        </w:rPr>
        <w:instrText xml:space="preserve"> REF _Ref142486767 \r \h </w:instrText>
      </w:r>
      <w:r w:rsidRPr="00B07D5D">
        <w:rPr>
          <w:lang w:val="en-US"/>
        </w:rPr>
      </w:r>
      <w:r w:rsidRPr="00B07D5D">
        <w:rPr>
          <w:lang w:val="en-US"/>
        </w:rPr>
        <w:fldChar w:fldCharType="separate"/>
      </w:r>
      <w:r w:rsidR="00EE706F">
        <w:rPr>
          <w:lang w:val="en-US"/>
        </w:rPr>
        <w:t>4</w:t>
      </w:r>
      <w:r w:rsidRPr="00B07D5D">
        <w:rPr>
          <w:lang w:val="en-US"/>
        </w:rPr>
        <w:fldChar w:fldCharType="end"/>
      </w:r>
      <w:r w:rsidR="00F5096B" w:rsidRPr="00B07D5D">
        <w:rPr>
          <w:lang w:val="en-US"/>
        </w:rPr>
        <w:t xml:space="preserve"> below</w:t>
      </w:r>
      <w:r w:rsidRPr="00B07D5D">
        <w:rPr>
          <w:lang w:val="en-US"/>
        </w:rPr>
        <w:t xml:space="preserve">). </w:t>
      </w:r>
    </w:p>
    <w:p w14:paraId="3EAB3EB8" w14:textId="77777777" w:rsidR="00F5096B" w:rsidRPr="00B07D5D" w:rsidRDefault="00F5096B" w:rsidP="00F5096B">
      <w:pPr>
        <w:pStyle w:val="Ingenmellomrom"/>
        <w:rPr>
          <w:lang w:val="en-US"/>
        </w:rPr>
      </w:pPr>
    </w:p>
    <w:p w14:paraId="582246CE" w14:textId="6C19C1D9" w:rsidR="00F5096B" w:rsidRPr="00B07D5D" w:rsidRDefault="00043C8C" w:rsidP="00F5096B">
      <w:pPr>
        <w:pStyle w:val="Ingenmellomrom"/>
        <w:numPr>
          <w:ilvl w:val="1"/>
          <w:numId w:val="4"/>
        </w:numPr>
        <w:ind w:left="567" w:hanging="567"/>
        <w:rPr>
          <w:lang w:val="en-US"/>
        </w:rPr>
      </w:pPr>
      <w:r w:rsidRPr="00B07D5D">
        <w:rPr>
          <w:lang w:val="en-US"/>
        </w:rPr>
        <w:t>The Settlement Agent and the Share Lender[</w:t>
      </w:r>
      <w:r w:rsidRPr="00B07D5D">
        <w:rPr>
          <w:highlight w:val="yellow"/>
          <w:lang w:val="en-US"/>
        </w:rPr>
        <w:t>s</w:t>
      </w:r>
      <w:r w:rsidRPr="00B07D5D">
        <w:rPr>
          <w:lang w:val="en-US"/>
        </w:rPr>
        <w:t>] agree that transfer and delivery of the Borrowed Shares from the Share Lender[</w:t>
      </w:r>
      <w:r w:rsidRPr="00B07D5D">
        <w:rPr>
          <w:highlight w:val="yellow"/>
          <w:lang w:val="en-US"/>
        </w:rPr>
        <w:t>s</w:t>
      </w:r>
      <w:r w:rsidRPr="00B07D5D">
        <w:rPr>
          <w:lang w:val="en-US"/>
        </w:rPr>
        <w:t xml:space="preserve">] to the Settlement Agent shall be deemed as a loan of the Borrowed Shares, and not a purchase or sale of the Borrowed Shares, and that the borrowing of the Borrowed Shares shall be registered as share lending with the VPS. </w:t>
      </w:r>
    </w:p>
    <w:p w14:paraId="664096C7" w14:textId="77777777" w:rsidR="00D93D06" w:rsidRPr="00B07D5D" w:rsidRDefault="00D93D06" w:rsidP="00D93D06">
      <w:pPr>
        <w:pStyle w:val="Ingenmellomrom"/>
        <w:rPr>
          <w:lang w:val="en-US"/>
        </w:rPr>
      </w:pPr>
    </w:p>
    <w:p w14:paraId="70B8CF59" w14:textId="6D7E5834" w:rsidR="00043C8C" w:rsidRPr="00B07D5D" w:rsidRDefault="00043C8C" w:rsidP="00043C8C">
      <w:pPr>
        <w:pStyle w:val="Overskrift2"/>
        <w:rPr>
          <w:lang w:val="en-US"/>
        </w:rPr>
      </w:pPr>
      <w:r w:rsidRPr="00B07D5D">
        <w:rPr>
          <w:lang w:val="en-US"/>
        </w:rPr>
        <w:t>No consideration</w:t>
      </w:r>
      <w:r w:rsidR="00AA6528">
        <w:rPr>
          <w:lang w:val="en-US"/>
        </w:rPr>
        <w:t xml:space="preserve"> or collateral </w:t>
      </w:r>
    </w:p>
    <w:p w14:paraId="7CF77BD2" w14:textId="3FEED36A" w:rsidR="00043C8C" w:rsidRDefault="00043C8C" w:rsidP="001A77A1">
      <w:pPr>
        <w:pStyle w:val="Ingenmellomrom"/>
        <w:ind w:left="567"/>
        <w:rPr>
          <w:lang w:val="en-US"/>
        </w:rPr>
      </w:pPr>
      <w:r w:rsidRPr="00B07D5D">
        <w:rPr>
          <w:lang w:val="en-US"/>
        </w:rPr>
        <w:t xml:space="preserve">Neither the Settlement Agent nor the Company shall be required to pay any consideration or post any collateral in connection with this Agreement or for the borrowing of the Borrowed Shares. </w:t>
      </w:r>
    </w:p>
    <w:p w14:paraId="48316C7D" w14:textId="2B1BCF3A" w:rsidR="00AA6528" w:rsidRDefault="00AA6528" w:rsidP="00AA6528">
      <w:pPr>
        <w:pStyle w:val="Ingenmellomrom"/>
        <w:ind w:left="567"/>
        <w:rPr>
          <w:lang w:val="en-US"/>
        </w:rPr>
      </w:pPr>
    </w:p>
    <w:p w14:paraId="64E9B969" w14:textId="2266F6ED" w:rsidR="00AA6528" w:rsidRDefault="00AA6528" w:rsidP="00AA6528">
      <w:pPr>
        <w:pStyle w:val="Overskrift2"/>
        <w:rPr>
          <w:lang w:val="en-US"/>
        </w:rPr>
      </w:pPr>
      <w:r>
        <w:rPr>
          <w:lang w:val="en-US"/>
        </w:rPr>
        <w:t xml:space="preserve">Distributions etc. </w:t>
      </w:r>
    </w:p>
    <w:p w14:paraId="1EC32854" w14:textId="5E8B7B9A" w:rsidR="00AA6528" w:rsidRPr="00B07D5D" w:rsidRDefault="00AA6528" w:rsidP="001A77A1">
      <w:pPr>
        <w:pStyle w:val="Ingenmellomrom"/>
        <w:ind w:left="567"/>
        <w:rPr>
          <w:lang w:val="en-US"/>
        </w:rPr>
      </w:pPr>
      <w:r w:rsidRPr="00B07D5D">
        <w:rPr>
          <w:lang w:val="en-US"/>
        </w:rPr>
        <w:t>The Settlement Agent undertakes to compensate the Share Lender[</w:t>
      </w:r>
      <w:r w:rsidRPr="00B07D5D">
        <w:rPr>
          <w:highlight w:val="yellow"/>
          <w:lang w:val="en-US"/>
        </w:rPr>
        <w:t>s</w:t>
      </w:r>
      <w:r w:rsidRPr="00B07D5D">
        <w:rPr>
          <w:lang w:val="en-US"/>
        </w:rPr>
        <w:t>] for any distributions (of any kind)</w:t>
      </w:r>
      <w:r w:rsidR="001674CE">
        <w:rPr>
          <w:lang w:val="en-US"/>
        </w:rPr>
        <w:t xml:space="preserve"> </w:t>
      </w:r>
      <w:r w:rsidRPr="00B07D5D">
        <w:rPr>
          <w:lang w:val="en-US"/>
        </w:rPr>
        <w:t>distributed on the Borrowed Shares and actually received by the Settlement Agent.</w:t>
      </w:r>
    </w:p>
    <w:p w14:paraId="3D56161C" w14:textId="77777777" w:rsidR="00043C8C" w:rsidRPr="00B07D5D" w:rsidRDefault="00043C8C" w:rsidP="00043C8C">
      <w:pPr>
        <w:pStyle w:val="Ingenmellomrom"/>
        <w:ind w:left="567"/>
        <w:rPr>
          <w:lang w:val="en-US"/>
        </w:rPr>
      </w:pPr>
    </w:p>
    <w:p w14:paraId="2A9AFC87" w14:textId="55C6D729" w:rsidR="00043C8C" w:rsidRDefault="00043C8C" w:rsidP="00043C8C">
      <w:pPr>
        <w:pStyle w:val="Overskrift2"/>
        <w:rPr>
          <w:lang w:val="en-US"/>
        </w:rPr>
      </w:pPr>
      <w:bookmarkStart w:id="0" w:name="_Ref142486767"/>
      <w:r w:rsidRPr="00B07D5D">
        <w:rPr>
          <w:lang w:val="en-US"/>
        </w:rPr>
        <w:lastRenderedPageBreak/>
        <w:t>Delivery of the Borrowed Shares</w:t>
      </w:r>
      <w:bookmarkEnd w:id="0"/>
    </w:p>
    <w:p w14:paraId="16D67E0B" w14:textId="6A89C890" w:rsidR="00043C8C" w:rsidRDefault="00043C8C" w:rsidP="00B057A5">
      <w:pPr>
        <w:pStyle w:val="Ingenmellomrom"/>
        <w:numPr>
          <w:ilvl w:val="1"/>
          <w:numId w:val="19"/>
        </w:numPr>
        <w:rPr>
          <w:lang w:val="en-US"/>
        </w:rPr>
      </w:pPr>
      <w:bookmarkStart w:id="1" w:name="_Hlk216868561"/>
      <w:r w:rsidRPr="00B07D5D">
        <w:rPr>
          <w:lang w:val="en-US"/>
        </w:rPr>
        <w:t>By signing this Agreement, [</w:t>
      </w:r>
      <w:r w:rsidRPr="00B07D5D">
        <w:rPr>
          <w:highlight w:val="yellow"/>
          <w:lang w:val="en-US"/>
        </w:rPr>
        <w:t>each/the</w:t>
      </w:r>
      <w:r w:rsidRPr="00B07D5D">
        <w:rPr>
          <w:lang w:val="en-US"/>
        </w:rPr>
        <w:t>] Share Lender gives the Settlement Agent the power to execute the Borrowing Option and to instruct [</w:t>
      </w:r>
      <w:r w:rsidRPr="00B07D5D">
        <w:rPr>
          <w:highlight w:val="yellow"/>
          <w:lang w:val="en-US"/>
        </w:rPr>
        <w:t>such/the</w:t>
      </w:r>
      <w:r w:rsidRPr="00B07D5D">
        <w:rPr>
          <w:lang w:val="en-US"/>
        </w:rPr>
        <w:t xml:space="preserve">] Share Lender’s </w:t>
      </w:r>
      <w:r w:rsidR="00011195" w:rsidRPr="00B07D5D">
        <w:rPr>
          <w:lang w:val="en-US"/>
        </w:rPr>
        <w:t>[</w:t>
      </w:r>
      <w:r w:rsidR="00011195" w:rsidRPr="00B07D5D">
        <w:rPr>
          <w:highlight w:val="yellow"/>
          <w:lang w:val="en-US"/>
        </w:rPr>
        <w:t>respective</w:t>
      </w:r>
      <w:r w:rsidR="00011195" w:rsidRPr="00B07D5D">
        <w:rPr>
          <w:lang w:val="en-US"/>
        </w:rPr>
        <w:t xml:space="preserve">] </w:t>
      </w:r>
      <w:r w:rsidRPr="00B07D5D">
        <w:rPr>
          <w:lang w:val="en-US"/>
        </w:rPr>
        <w:t xml:space="preserve">settlement agent to deliver the </w:t>
      </w:r>
      <w:r w:rsidR="00011195" w:rsidRPr="00B07D5D">
        <w:rPr>
          <w:lang w:val="en-US"/>
        </w:rPr>
        <w:t xml:space="preserve">relevant </w:t>
      </w:r>
      <w:r w:rsidRPr="00B07D5D">
        <w:rPr>
          <w:lang w:val="en-US"/>
        </w:rPr>
        <w:t xml:space="preserve">Borrowed Shares from </w:t>
      </w:r>
      <w:r w:rsidR="00011195" w:rsidRPr="00B07D5D">
        <w:rPr>
          <w:lang w:val="en-US"/>
        </w:rPr>
        <w:t>[</w:t>
      </w:r>
      <w:r w:rsidR="00011195" w:rsidRPr="00B07D5D">
        <w:rPr>
          <w:highlight w:val="yellow"/>
          <w:lang w:val="en-US"/>
        </w:rPr>
        <w:t>such/the</w:t>
      </w:r>
      <w:r w:rsidR="00011195" w:rsidRPr="00B07D5D">
        <w:rPr>
          <w:lang w:val="en-US"/>
        </w:rPr>
        <w:t>]</w:t>
      </w:r>
      <w:r w:rsidRPr="00B07D5D">
        <w:rPr>
          <w:lang w:val="en-US"/>
        </w:rPr>
        <w:t xml:space="preserve"> Share Lender's </w:t>
      </w:r>
      <w:r w:rsidR="00AA6528">
        <w:rPr>
          <w:lang w:val="en-US"/>
        </w:rPr>
        <w:t>[</w:t>
      </w:r>
      <w:r w:rsidR="00AA6528" w:rsidRPr="00AA6528">
        <w:rPr>
          <w:highlight w:val="yellow"/>
          <w:lang w:val="en-US"/>
        </w:rPr>
        <w:t>respective</w:t>
      </w:r>
      <w:r w:rsidR="00AA6528">
        <w:rPr>
          <w:lang w:val="en-US"/>
        </w:rPr>
        <w:t xml:space="preserve">] </w:t>
      </w:r>
      <w:r w:rsidRPr="00B07D5D">
        <w:rPr>
          <w:lang w:val="en-US"/>
        </w:rPr>
        <w:t>VPS account to the Settlement Agent’s VPS account (which shall be a separate VPS account established for this purpose)</w:t>
      </w:r>
      <w:r w:rsidR="00AA6528">
        <w:rPr>
          <w:lang w:val="en-US"/>
        </w:rPr>
        <w:t xml:space="preserve"> on the terms and subject to the conditions set out herein</w:t>
      </w:r>
      <w:r w:rsidR="00711336">
        <w:rPr>
          <w:lang w:val="en-US"/>
        </w:rPr>
        <w:t>[</w:t>
      </w:r>
      <w:r w:rsidR="00711336" w:rsidRPr="00711336">
        <w:rPr>
          <w:highlight w:val="yellow"/>
          <w:lang w:val="en-US"/>
        </w:rPr>
        <w:t>, provided however that the Borrowing Option may not be exercised at a date falling after [date]</w:t>
      </w:r>
      <w:r w:rsidR="00711336">
        <w:rPr>
          <w:lang w:val="en-US"/>
        </w:rPr>
        <w:t>]</w:t>
      </w:r>
      <w:r w:rsidRPr="00B07D5D">
        <w:rPr>
          <w:lang w:val="en-US"/>
        </w:rPr>
        <w:t>.</w:t>
      </w:r>
    </w:p>
    <w:p w14:paraId="28888254" w14:textId="77777777" w:rsidR="00F809FC" w:rsidRDefault="00F809FC" w:rsidP="00F809FC">
      <w:pPr>
        <w:pStyle w:val="Ingenmellomrom"/>
        <w:ind w:left="360"/>
        <w:rPr>
          <w:lang w:val="en-US"/>
        </w:rPr>
      </w:pPr>
    </w:p>
    <w:p w14:paraId="2D4BAFB4" w14:textId="0F3416EC" w:rsidR="00F809FC" w:rsidRDefault="00F809FC" w:rsidP="00F809FC">
      <w:pPr>
        <w:pStyle w:val="Ingenmellomrom"/>
        <w:numPr>
          <w:ilvl w:val="1"/>
          <w:numId w:val="19"/>
        </w:numPr>
        <w:rPr>
          <w:lang w:val="en-US"/>
        </w:rPr>
      </w:pPr>
      <w:r w:rsidRPr="00B07D5D">
        <w:rPr>
          <w:lang w:val="en-US"/>
        </w:rPr>
        <w:t>No Borrowed Shares shall be transferred to an applicant before the applicant has paid the full subscription amount for the number of Offer Shares it has been allocated in the Offering. Further, no applicant shall be transferred more Borrowed Shares than the number of Offe</w:t>
      </w:r>
      <w:r>
        <w:rPr>
          <w:lang w:val="en-US"/>
        </w:rPr>
        <w:t xml:space="preserve">r </w:t>
      </w:r>
      <w:r w:rsidRPr="00B07D5D">
        <w:rPr>
          <w:lang w:val="en-US"/>
        </w:rPr>
        <w:t>Shares such applicant has applied for and been allocated in the Offering.</w:t>
      </w:r>
    </w:p>
    <w:bookmarkEnd w:id="1"/>
    <w:p w14:paraId="1CDCE480" w14:textId="5F9943FB" w:rsidR="0066776A" w:rsidRPr="00B07D5D" w:rsidRDefault="0066776A" w:rsidP="00F809FC">
      <w:pPr>
        <w:pStyle w:val="Ingenmellomrom"/>
        <w:ind w:left="360"/>
        <w:rPr>
          <w:lang w:val="en-US"/>
        </w:rPr>
      </w:pPr>
    </w:p>
    <w:p w14:paraId="7B4348BD" w14:textId="54091DE7" w:rsidR="00011195" w:rsidRPr="00B07D5D" w:rsidRDefault="00781BDD" w:rsidP="00781BDD">
      <w:pPr>
        <w:pStyle w:val="Overskrift2"/>
        <w:rPr>
          <w:lang w:val="en-US"/>
        </w:rPr>
      </w:pPr>
      <w:r w:rsidRPr="00B07D5D">
        <w:rPr>
          <w:lang w:val="en-US"/>
        </w:rPr>
        <w:t>Redelivery of the Borrowed Shares</w:t>
      </w:r>
    </w:p>
    <w:p w14:paraId="7FD7A55B" w14:textId="1F2BA831" w:rsidR="00781BDD" w:rsidRPr="00B07D5D" w:rsidRDefault="00781BDD" w:rsidP="00043C8C">
      <w:pPr>
        <w:pStyle w:val="Ingenmellomrom"/>
        <w:numPr>
          <w:ilvl w:val="1"/>
          <w:numId w:val="4"/>
        </w:numPr>
        <w:ind w:left="567" w:hanging="567"/>
        <w:rPr>
          <w:lang w:val="en-US"/>
        </w:rPr>
      </w:pPr>
      <w:r w:rsidRPr="6D42CF0C">
        <w:rPr>
          <w:lang w:val="en-US"/>
        </w:rPr>
        <w:t xml:space="preserve">Following allocation of the Offer Shares, the Settlement Agent </w:t>
      </w:r>
      <w:r w:rsidR="00A411E0" w:rsidRPr="6D42CF0C">
        <w:rPr>
          <w:lang w:val="en-US"/>
        </w:rPr>
        <w:t>[</w:t>
      </w:r>
      <w:r w:rsidR="00A411E0" w:rsidRPr="6D42CF0C">
        <w:rPr>
          <w:highlight w:val="lightGray"/>
          <w:lang w:val="en-US"/>
        </w:rPr>
        <w:t>if multiple managers:</w:t>
      </w:r>
      <w:r w:rsidR="00A411E0" w:rsidRPr="6D42CF0C">
        <w:rPr>
          <w:lang w:val="en-US"/>
        </w:rPr>
        <w:t>] [</w:t>
      </w:r>
      <w:r w:rsidR="00A411E0" w:rsidRPr="6D42CF0C">
        <w:rPr>
          <w:highlight w:val="yellow"/>
          <w:lang w:val="en-US"/>
        </w:rPr>
        <w:t>(or, if relevant, together with the other Managers)</w:t>
      </w:r>
      <w:r w:rsidR="00A411E0" w:rsidRPr="6D42CF0C">
        <w:rPr>
          <w:lang w:val="en-US"/>
        </w:rPr>
        <w:t xml:space="preserve">] </w:t>
      </w:r>
      <w:r w:rsidRPr="6D42CF0C">
        <w:rPr>
          <w:lang w:val="en-US"/>
        </w:rPr>
        <w:t>undertakes to subscribe for the allocated Offer Shares</w:t>
      </w:r>
      <w:r w:rsidR="00A411E0" w:rsidRPr="6D42CF0C">
        <w:rPr>
          <w:lang w:val="en-US"/>
        </w:rPr>
        <w:t xml:space="preserve"> (</w:t>
      </w:r>
      <w:r w:rsidR="00A411E0" w:rsidRPr="6D42CF0C">
        <w:rPr>
          <w:highlight w:val="yellow"/>
          <w:lang w:val="en-US"/>
        </w:rPr>
        <w:t>for the account of</w:t>
      </w:r>
      <w:r w:rsidR="00B11A48">
        <w:rPr>
          <w:highlight w:val="yellow"/>
          <w:lang w:val="en-US"/>
        </w:rPr>
        <w:t>, and pursuant to authorization from,</w:t>
      </w:r>
      <w:r w:rsidR="00A411E0" w:rsidRPr="6D42CF0C">
        <w:rPr>
          <w:highlight w:val="yellow"/>
          <w:lang w:val="en-US"/>
        </w:rPr>
        <w:t xml:space="preserve"> the </w:t>
      </w:r>
      <w:r w:rsidR="00B11A48">
        <w:rPr>
          <w:highlight w:val="yellow"/>
          <w:lang w:val="en-US"/>
        </w:rPr>
        <w:t>Investors[</w:t>
      </w:r>
      <w:r w:rsidR="00A411E0" w:rsidRPr="6D42CF0C">
        <w:rPr>
          <w:color w:val="FF0000"/>
          <w:highlight w:val="yellow"/>
          <w:lang w:val="en-US"/>
        </w:rPr>
        <w:t>,or, as the case may be, the account of the other Managers</w:t>
      </w:r>
      <w:r w:rsidR="00B11A48">
        <w:rPr>
          <w:color w:val="FF0000"/>
          <w:lang w:val="en-US"/>
        </w:rPr>
        <w:t>]</w:t>
      </w:r>
      <w:r w:rsidR="00A411E0" w:rsidRPr="6D42CF0C">
        <w:rPr>
          <w:lang w:val="en-US"/>
        </w:rPr>
        <w:t>) [</w:t>
      </w:r>
      <w:r w:rsidR="00A411E0" w:rsidRPr="6D42CF0C">
        <w:rPr>
          <w:highlight w:val="lightGray"/>
          <w:lang w:val="en-US"/>
        </w:rPr>
        <w:t>red text only if multiple managers:</w:t>
      </w:r>
      <w:r w:rsidR="00A411E0" w:rsidRPr="6D42CF0C">
        <w:rPr>
          <w:lang w:val="en-US"/>
        </w:rPr>
        <w:t>]</w:t>
      </w:r>
      <w:r w:rsidRPr="6D42CF0C">
        <w:rPr>
          <w:lang w:val="en-US"/>
        </w:rPr>
        <w:t>, so as to secure the Settlement Agent’s ability to redeliver the Borrowed Shares.</w:t>
      </w:r>
    </w:p>
    <w:p w14:paraId="5F4C7D98" w14:textId="68E029AE" w:rsidR="00781BDD" w:rsidRPr="00B07D5D" w:rsidRDefault="00781BDD" w:rsidP="00781BDD">
      <w:pPr>
        <w:pStyle w:val="Ingenmellomrom"/>
        <w:rPr>
          <w:lang w:val="en-US"/>
        </w:rPr>
      </w:pPr>
    </w:p>
    <w:p w14:paraId="653C8F25" w14:textId="42E067C1" w:rsidR="00781BDD" w:rsidRPr="00B07D5D" w:rsidRDefault="00781BDD" w:rsidP="00043C8C">
      <w:pPr>
        <w:pStyle w:val="Ingenmellomrom"/>
        <w:numPr>
          <w:ilvl w:val="1"/>
          <w:numId w:val="4"/>
        </w:numPr>
        <w:ind w:left="567" w:hanging="567"/>
        <w:rPr>
          <w:lang w:val="en-US"/>
        </w:rPr>
      </w:pPr>
      <w:bookmarkStart w:id="2" w:name="_Ref142487083"/>
      <w:r w:rsidRPr="00B07D5D">
        <w:rPr>
          <w:lang w:val="en-US"/>
        </w:rPr>
        <w:t xml:space="preserve">Upon receipt of the gross proceeds for the Offer Shares, the Company shall without undue delay thereafter register the share capital increase pertaining to the </w:t>
      </w:r>
      <w:r w:rsidR="00B11A48">
        <w:rPr>
          <w:lang w:val="en-US"/>
        </w:rPr>
        <w:t xml:space="preserve">allocated </w:t>
      </w:r>
      <w:r w:rsidRPr="00B07D5D">
        <w:rPr>
          <w:lang w:val="en-US"/>
        </w:rPr>
        <w:t>Offer Shares with the NRBE.</w:t>
      </w:r>
      <w:bookmarkEnd w:id="2"/>
      <w:r w:rsidRPr="00B07D5D">
        <w:rPr>
          <w:lang w:val="en-US"/>
        </w:rPr>
        <w:t xml:space="preserve"> </w:t>
      </w:r>
    </w:p>
    <w:p w14:paraId="5DFBC7E9" w14:textId="35F92784" w:rsidR="00781BDD" w:rsidRPr="00B07D5D" w:rsidRDefault="00781BDD" w:rsidP="00781BDD">
      <w:pPr>
        <w:pStyle w:val="Ingenmellomrom"/>
        <w:rPr>
          <w:lang w:val="en-US"/>
        </w:rPr>
      </w:pPr>
    </w:p>
    <w:p w14:paraId="3CC7F481" w14:textId="25D42ACE" w:rsidR="00781BDD" w:rsidRPr="00B07D5D" w:rsidRDefault="00781BDD" w:rsidP="00043C8C">
      <w:pPr>
        <w:pStyle w:val="Ingenmellomrom"/>
        <w:numPr>
          <w:ilvl w:val="1"/>
          <w:numId w:val="4"/>
        </w:numPr>
        <w:ind w:left="567" w:hanging="567"/>
        <w:rPr>
          <w:lang w:val="en-US"/>
        </w:rPr>
      </w:pPr>
      <w:r w:rsidRPr="00B07D5D">
        <w:rPr>
          <w:lang w:val="en-US"/>
        </w:rPr>
        <w:t xml:space="preserve">The Company shall immediately upon registration of the share capital increase pertaining to the Offer Shares in accordance with clause </w:t>
      </w:r>
      <w:r w:rsidR="00FE6E2D">
        <w:rPr>
          <w:lang w:val="en-US"/>
        </w:rPr>
        <w:t>5.2</w:t>
      </w:r>
      <w:r w:rsidRPr="00B07D5D">
        <w:rPr>
          <w:lang w:val="en-US"/>
        </w:rPr>
        <w:t xml:space="preserve"> above, instruct its account operator in the VPS to register and issue the number of Offer Shares corresponding to the number of Borrowed Shares borrowed pursuant to the Borrowing Option (the “</w:t>
      </w:r>
      <w:r w:rsidRPr="0052288A">
        <w:rPr>
          <w:b/>
          <w:bCs/>
          <w:lang w:val="en-US"/>
        </w:rPr>
        <w:t>Actual Borrowed Shares</w:t>
      </w:r>
      <w:r w:rsidRPr="00B07D5D">
        <w:rPr>
          <w:lang w:val="en-US"/>
        </w:rPr>
        <w:t>”) at a VPS account in the name of the Settlement Agent as specified by the Settlement Agent in writing.</w:t>
      </w:r>
    </w:p>
    <w:p w14:paraId="5EB20978" w14:textId="15064CE5" w:rsidR="00781BDD" w:rsidRPr="00B07D5D" w:rsidRDefault="00781BDD" w:rsidP="00781BDD">
      <w:pPr>
        <w:pStyle w:val="Ingenmellomrom"/>
        <w:rPr>
          <w:lang w:val="en-US"/>
        </w:rPr>
      </w:pPr>
    </w:p>
    <w:p w14:paraId="0ADD166D" w14:textId="13F58D19" w:rsidR="00781BDD" w:rsidRPr="00B07D5D" w:rsidRDefault="00151B3A" w:rsidP="00043C8C">
      <w:pPr>
        <w:pStyle w:val="Ingenmellomrom"/>
        <w:numPr>
          <w:ilvl w:val="1"/>
          <w:numId w:val="4"/>
        </w:numPr>
        <w:ind w:left="567" w:hanging="567"/>
        <w:rPr>
          <w:lang w:val="en-US"/>
        </w:rPr>
      </w:pPr>
      <w:r>
        <w:rPr>
          <w:lang w:val="en-US"/>
        </w:rPr>
        <w:t>[</w:t>
      </w:r>
      <w:r w:rsidR="00781BDD" w:rsidRPr="00B07D5D">
        <w:rPr>
          <w:lang w:val="en-US"/>
        </w:rPr>
        <w:t>The Offer Shares shall be issued under the same ISIN number as for the Company’s existing shares.</w:t>
      </w:r>
      <w:r>
        <w:rPr>
          <w:lang w:val="en-US"/>
        </w:rPr>
        <w:t>/</w:t>
      </w:r>
      <w:r w:rsidR="00AF4AEE">
        <w:rPr>
          <w:lang w:val="en-GB"/>
        </w:rPr>
        <w:t>T</w:t>
      </w:r>
      <w:r w:rsidR="00AF4AEE" w:rsidRPr="00715FC6">
        <w:rPr>
          <w:lang w:val="en-GB"/>
        </w:rPr>
        <w:t>he Offer Shares shall be issued on a separate ISIN and not be tradable on [</w:t>
      </w:r>
      <w:r w:rsidR="00AF4AEE" w:rsidRPr="00715FC6">
        <w:rPr>
          <w:shd w:val="clear" w:color="auto" w:fill="E5F18F"/>
          <w:lang w:val="en-GB"/>
        </w:rPr>
        <w:t>Oslo Stock Exchange / Euronext Expand</w:t>
      </w:r>
      <w:r w:rsidR="00AF4AEE" w:rsidRPr="00715FC6">
        <w:rPr>
          <w:lang w:val="en-GB"/>
        </w:rPr>
        <w:t>] until a prospectus for listing of such Offer Shares (the "Listing Prospectus") has been approved and published in accordance with the Norwegian Securities Trading Act. The Company undertakes to prepare and publish such Listing Prospectus as soon as reasonably practicable, however, it is understood that the Listing Prospectus and publication thereof by the Company is subject to approval by the Financial Supervisory Authority in Norway.</w:t>
      </w:r>
      <w:r w:rsidR="00AF4AEE">
        <w:rPr>
          <w:lang w:val="en-GB"/>
        </w:rPr>
        <w:t>]</w:t>
      </w:r>
      <w:r w:rsidR="00B11A48">
        <w:rPr>
          <w:rStyle w:val="Fotnotereferanse"/>
          <w:lang w:val="en-US"/>
        </w:rPr>
        <w:footnoteReference w:id="3"/>
      </w:r>
      <w:r w:rsidR="00781BDD" w:rsidRPr="00B07D5D">
        <w:rPr>
          <w:lang w:val="en-US"/>
        </w:rPr>
        <w:t xml:space="preserve"> </w:t>
      </w:r>
    </w:p>
    <w:p w14:paraId="4B3DB40C" w14:textId="77777777" w:rsidR="00781BDD" w:rsidRPr="00B07D5D" w:rsidRDefault="00781BDD" w:rsidP="00781BDD">
      <w:pPr>
        <w:pStyle w:val="Ingenmellomrom"/>
        <w:rPr>
          <w:lang w:val="en-US"/>
        </w:rPr>
      </w:pPr>
    </w:p>
    <w:p w14:paraId="1F8BA4CB" w14:textId="48D657BE" w:rsidR="00781BDD" w:rsidRDefault="00781BDD" w:rsidP="00043C8C">
      <w:pPr>
        <w:pStyle w:val="Ingenmellomrom"/>
        <w:numPr>
          <w:ilvl w:val="1"/>
          <w:numId w:val="4"/>
        </w:numPr>
        <w:ind w:left="567" w:hanging="567"/>
        <w:rPr>
          <w:lang w:val="en-US"/>
        </w:rPr>
      </w:pPr>
      <w:bookmarkStart w:id="3" w:name="_Ref142487249"/>
      <w:r w:rsidRPr="00B07D5D">
        <w:rPr>
          <w:lang w:val="en-US"/>
        </w:rPr>
        <w:t>Subject to receipt of the Offer Shares, the Settlement Agent shall as soon as possible transfer a number of Offer Shares that equals the number of Actual Borrowed Shares to [</w:t>
      </w:r>
      <w:r w:rsidRPr="00B07D5D">
        <w:rPr>
          <w:highlight w:val="yellow"/>
          <w:lang w:val="en-US"/>
        </w:rPr>
        <w:t>each/the</w:t>
      </w:r>
      <w:r w:rsidRPr="00B07D5D">
        <w:rPr>
          <w:lang w:val="en-US"/>
        </w:rPr>
        <w:t>] Share Lender’s [</w:t>
      </w:r>
      <w:r w:rsidRPr="00B07D5D">
        <w:rPr>
          <w:highlight w:val="yellow"/>
          <w:lang w:val="en-US"/>
        </w:rPr>
        <w:t>respective</w:t>
      </w:r>
      <w:r w:rsidRPr="00B07D5D">
        <w:rPr>
          <w:lang w:val="en-US"/>
        </w:rPr>
        <w:t>] VPS account, as full and final settlement of the Settlement Agent's obligations to re-deliver the Borrowed Shares. Transfer of title shall take place upon delivery of the Offer Shares to [</w:t>
      </w:r>
      <w:r w:rsidRPr="00B07D5D">
        <w:rPr>
          <w:highlight w:val="yellow"/>
          <w:lang w:val="en-US"/>
        </w:rPr>
        <w:t>each/the</w:t>
      </w:r>
      <w:r w:rsidRPr="00B07D5D">
        <w:rPr>
          <w:lang w:val="en-US"/>
        </w:rPr>
        <w:t>] Share Lender’s [</w:t>
      </w:r>
      <w:r w:rsidRPr="00B07D5D">
        <w:rPr>
          <w:highlight w:val="yellow"/>
          <w:lang w:val="en-US"/>
        </w:rPr>
        <w:t>respective</w:t>
      </w:r>
      <w:r w:rsidRPr="00B07D5D">
        <w:rPr>
          <w:lang w:val="en-US"/>
        </w:rPr>
        <w:t>] VPS account. The Settlement Agent shall under no circumstance be obliged to re-deliver shares to the Share Lender[</w:t>
      </w:r>
      <w:r w:rsidRPr="00B07D5D">
        <w:rPr>
          <w:highlight w:val="yellow"/>
          <w:lang w:val="en-US"/>
        </w:rPr>
        <w:t>s</w:t>
      </w:r>
      <w:r w:rsidRPr="00B07D5D">
        <w:rPr>
          <w:lang w:val="en-US"/>
        </w:rPr>
        <w:t>] until the business day following the date when the Company has issued the Offer Shares to the Settlement Agent.</w:t>
      </w:r>
      <w:bookmarkEnd w:id="3"/>
    </w:p>
    <w:p w14:paraId="195182BA" w14:textId="77777777" w:rsidR="00B82258" w:rsidRDefault="00B82258" w:rsidP="00B82258">
      <w:pPr>
        <w:pStyle w:val="Listeavsnitt"/>
        <w:rPr>
          <w:lang w:val="en-US"/>
        </w:rPr>
      </w:pPr>
    </w:p>
    <w:p w14:paraId="19742F91" w14:textId="52DF3164" w:rsidR="00B82258" w:rsidRDefault="00691AFB" w:rsidP="00020FF9">
      <w:pPr>
        <w:pStyle w:val="Ingenmellomrom"/>
        <w:numPr>
          <w:ilvl w:val="1"/>
          <w:numId w:val="4"/>
        </w:numPr>
        <w:spacing w:after="240"/>
        <w:ind w:left="567" w:hanging="567"/>
        <w:rPr>
          <w:lang w:val="en-US"/>
        </w:rPr>
      </w:pPr>
      <w:r w:rsidRPr="00B07D5D">
        <w:rPr>
          <w:lang w:val="en-US"/>
        </w:rPr>
        <w:t xml:space="preserve">The Company shall ensure that the shares to be re-delivered by the Settlement Agent pursuant to clause </w:t>
      </w:r>
      <w:r>
        <w:rPr>
          <w:lang w:val="en-US"/>
        </w:rPr>
        <w:t>5.5</w:t>
      </w:r>
      <w:r w:rsidRPr="00B07D5D">
        <w:rPr>
          <w:lang w:val="en-US"/>
        </w:rPr>
        <w:t xml:space="preserve"> shall in all respects have equal rights as all other existing shares in the Company.</w:t>
      </w:r>
    </w:p>
    <w:p w14:paraId="4759010C" w14:textId="5692CED4" w:rsidR="00691AFB" w:rsidRPr="00691AFB" w:rsidRDefault="00691AFB" w:rsidP="00020FF9">
      <w:pPr>
        <w:pStyle w:val="Ingenmellomrom"/>
        <w:numPr>
          <w:ilvl w:val="1"/>
          <w:numId w:val="4"/>
        </w:numPr>
        <w:spacing w:after="240"/>
        <w:ind w:left="567" w:hanging="567"/>
        <w:rPr>
          <w:lang w:val="en-GB"/>
        </w:rPr>
      </w:pPr>
      <w:r w:rsidRPr="00691AFB">
        <w:rPr>
          <w:lang w:val="en-US"/>
        </w:rPr>
        <w:t>Any failure or delay by the Company to issue and deliver the Offer Shares to the Settlement Agent shall be at the sole risk of the Share Lender[</w:t>
      </w:r>
      <w:r w:rsidRPr="001B76E5">
        <w:rPr>
          <w:highlight w:val="yellow"/>
          <w:lang w:val="en-US"/>
        </w:rPr>
        <w:t>s</w:t>
      </w:r>
      <w:r w:rsidRPr="00691AFB">
        <w:rPr>
          <w:lang w:val="en-US"/>
        </w:rPr>
        <w:t>], and the Settlement Agent shall not be under any obligation to re-deliver the Borrowed Shares to the Share Lender[</w:t>
      </w:r>
      <w:r w:rsidRPr="001B76E5">
        <w:rPr>
          <w:highlight w:val="yellow"/>
          <w:lang w:val="en-US"/>
        </w:rPr>
        <w:t>s</w:t>
      </w:r>
      <w:r w:rsidRPr="00691AFB">
        <w:rPr>
          <w:lang w:val="en-US"/>
        </w:rPr>
        <w:t xml:space="preserve">] until the Settlement Agent has </w:t>
      </w:r>
      <w:proofErr w:type="gramStart"/>
      <w:r w:rsidRPr="00691AFB">
        <w:rPr>
          <w:lang w:val="en-US"/>
        </w:rPr>
        <w:t>actually received</w:t>
      </w:r>
      <w:proofErr w:type="gramEnd"/>
      <w:r w:rsidRPr="00691AFB">
        <w:rPr>
          <w:lang w:val="en-US"/>
        </w:rPr>
        <w:t xml:space="preserve"> such Offer Shares. To the extent the share capital increase relating to the Offer Shares for any reason cannot be completed, the Settlement Agent shall instead of redelivering shares to the Share Lender[</w:t>
      </w:r>
      <w:r w:rsidRPr="001B76E5">
        <w:rPr>
          <w:highlight w:val="yellow"/>
          <w:lang w:val="en-US"/>
        </w:rPr>
        <w:t>s</w:t>
      </w:r>
      <w:r w:rsidRPr="00691AFB">
        <w:rPr>
          <w:lang w:val="en-US"/>
        </w:rPr>
        <w:t>] be entitled to make a cash payment to the Share Lender</w:t>
      </w:r>
      <w:r w:rsidRPr="005D3E12">
        <w:rPr>
          <w:highlight w:val="yellow"/>
          <w:lang w:val="en-US"/>
        </w:rPr>
        <w:t>[s</w:t>
      </w:r>
      <w:r w:rsidRPr="00691AFB">
        <w:rPr>
          <w:lang w:val="en-US"/>
        </w:rPr>
        <w:t>].</w:t>
      </w:r>
      <w:r w:rsidRPr="00691AFB">
        <w:rPr>
          <w:lang w:val="en-GB"/>
        </w:rPr>
        <w:t xml:space="preserve"> Such cash payment shall in any circumstances be limited to an amount equal to the payments actually received by the Managers from investors as settlement from such investors for Borrowed Shares delivered to them in the Offering. </w:t>
      </w:r>
      <w:r w:rsidRPr="00691AFB">
        <w:rPr>
          <w:lang w:val="en-US"/>
        </w:rPr>
        <w:t>With such cash payment, any obligation to deliver Borrowed</w:t>
      </w:r>
      <w:r w:rsidRPr="00691AFB">
        <w:rPr>
          <w:b/>
          <w:bCs/>
          <w:lang w:val="en-US"/>
        </w:rPr>
        <w:t xml:space="preserve"> </w:t>
      </w:r>
      <w:r w:rsidRPr="00691AFB">
        <w:rPr>
          <w:lang w:val="en-US"/>
        </w:rPr>
        <w:t>Shares shall be deemed settled in full.</w:t>
      </w:r>
      <w:r w:rsidRPr="00691AFB">
        <w:rPr>
          <w:lang w:val="en-GB"/>
        </w:rPr>
        <w:t xml:space="preserve"> </w:t>
      </w:r>
    </w:p>
    <w:p w14:paraId="6664CF2F" w14:textId="77777777" w:rsidR="00BA759B" w:rsidRPr="00B07D5D" w:rsidRDefault="00BA759B" w:rsidP="00020FF9">
      <w:pPr>
        <w:pStyle w:val="Ingenmellomrom"/>
        <w:rPr>
          <w:lang w:val="en-US"/>
        </w:rPr>
      </w:pPr>
    </w:p>
    <w:p w14:paraId="5F6F31A8" w14:textId="656BBC48" w:rsidR="00EB4C40" w:rsidRPr="00B07D5D" w:rsidRDefault="00EB4C40" w:rsidP="00020FF9">
      <w:pPr>
        <w:pStyle w:val="Overskrift2"/>
        <w:spacing w:line="240" w:lineRule="auto"/>
        <w:rPr>
          <w:lang w:val="en-US"/>
        </w:rPr>
      </w:pPr>
      <w:r w:rsidRPr="00B07D5D">
        <w:rPr>
          <w:lang w:val="en-US"/>
        </w:rPr>
        <w:t>Representations and warranties</w:t>
      </w:r>
    </w:p>
    <w:p w14:paraId="7122F95C" w14:textId="6A97F4C8" w:rsidR="00EB4C40" w:rsidRPr="00B07D5D" w:rsidRDefault="00EB4C40" w:rsidP="00FD78F8">
      <w:pPr>
        <w:pStyle w:val="Ingenmellomrom"/>
        <w:numPr>
          <w:ilvl w:val="1"/>
          <w:numId w:val="4"/>
        </w:numPr>
        <w:ind w:left="567" w:hanging="567"/>
        <w:rPr>
          <w:b/>
          <w:bCs/>
          <w:lang w:val="en-US"/>
        </w:rPr>
      </w:pPr>
      <w:r w:rsidRPr="00B07D5D">
        <w:rPr>
          <w:b/>
          <w:bCs/>
          <w:lang w:val="en-US"/>
        </w:rPr>
        <w:t>Representations and warranties of the Company</w:t>
      </w:r>
    </w:p>
    <w:p w14:paraId="45654D83" w14:textId="258A83C3" w:rsidR="00EB4C40" w:rsidRPr="00B07D5D" w:rsidRDefault="00EB4C40" w:rsidP="00FD78F8">
      <w:pPr>
        <w:pStyle w:val="Ingenmellomrom"/>
        <w:ind w:left="567"/>
        <w:rPr>
          <w:lang w:val="en-US"/>
        </w:rPr>
      </w:pPr>
      <w:r w:rsidRPr="00B07D5D">
        <w:rPr>
          <w:lang w:val="en-US"/>
        </w:rPr>
        <w:t>The Company hereby represents and warrants, and undertakes to the Settlement Agent and the Share Lender[</w:t>
      </w:r>
      <w:r w:rsidRPr="00B07D5D">
        <w:rPr>
          <w:highlight w:val="yellow"/>
          <w:lang w:val="en-US"/>
        </w:rPr>
        <w:t>s</w:t>
      </w:r>
      <w:r w:rsidRPr="00B07D5D">
        <w:rPr>
          <w:lang w:val="en-US"/>
        </w:rPr>
        <w:t xml:space="preserve">], that: </w:t>
      </w:r>
    </w:p>
    <w:p w14:paraId="4C1BBB09" w14:textId="5EE315AB" w:rsidR="00EB4C40" w:rsidRPr="00B07D5D" w:rsidRDefault="00EB4C40" w:rsidP="00EB4C40">
      <w:pPr>
        <w:pStyle w:val="Ingenmellomrom"/>
        <w:ind w:left="567" w:hanging="567"/>
        <w:rPr>
          <w:lang w:val="en-US"/>
        </w:rPr>
      </w:pPr>
    </w:p>
    <w:p w14:paraId="48C33350" w14:textId="167BD272" w:rsidR="00EB4C40" w:rsidRPr="00B07D5D" w:rsidRDefault="00EB4C40" w:rsidP="00EB4C40">
      <w:pPr>
        <w:pStyle w:val="Ingenmellomrom"/>
        <w:numPr>
          <w:ilvl w:val="0"/>
          <w:numId w:val="5"/>
        </w:numPr>
        <w:ind w:left="1140" w:hanging="567"/>
        <w:rPr>
          <w:lang w:val="en-US"/>
        </w:rPr>
      </w:pPr>
      <w:r w:rsidRPr="00B07D5D">
        <w:rPr>
          <w:lang w:val="en-US"/>
        </w:rPr>
        <w:t xml:space="preserve">it is duly authorized and empowered to perform its duties and obligations under this Agreement; and </w:t>
      </w:r>
    </w:p>
    <w:p w14:paraId="27450AA6" w14:textId="77777777" w:rsidR="00EB4C40" w:rsidRPr="00B07D5D" w:rsidRDefault="00EB4C40" w:rsidP="00EB4C40">
      <w:pPr>
        <w:pStyle w:val="Ingenmellomrom"/>
        <w:ind w:left="1140"/>
        <w:rPr>
          <w:lang w:val="en-US"/>
        </w:rPr>
      </w:pPr>
    </w:p>
    <w:p w14:paraId="430033BE" w14:textId="311F51C3" w:rsidR="00EB4C40" w:rsidRPr="00B07D5D" w:rsidRDefault="00EB4C40" w:rsidP="00EB4C40">
      <w:pPr>
        <w:pStyle w:val="Ingenmellomrom"/>
        <w:numPr>
          <w:ilvl w:val="0"/>
          <w:numId w:val="5"/>
        </w:numPr>
        <w:ind w:left="1140" w:hanging="567"/>
        <w:rPr>
          <w:lang w:val="en-US"/>
        </w:rPr>
      </w:pPr>
      <w:r w:rsidRPr="00B07D5D">
        <w:rPr>
          <w:lang w:val="en-US"/>
        </w:rPr>
        <w:t xml:space="preserve">the Offer Shares when so delivered will be validly issued, fully paid, and in all respects have equal rights to those of all other issued shares of the Company. </w:t>
      </w:r>
    </w:p>
    <w:p w14:paraId="7B4DFBF9" w14:textId="346A11B6" w:rsidR="00EB4C40" w:rsidRPr="00B07D5D" w:rsidRDefault="00EB4C40" w:rsidP="00EB4C40">
      <w:pPr>
        <w:pStyle w:val="Ingenmellomrom"/>
        <w:rPr>
          <w:lang w:val="en-US"/>
        </w:rPr>
      </w:pPr>
    </w:p>
    <w:p w14:paraId="0F02C968" w14:textId="5691322A" w:rsidR="00EB4C40" w:rsidRPr="00B07D5D" w:rsidRDefault="00EB4C40" w:rsidP="00FD78F8">
      <w:pPr>
        <w:pStyle w:val="Ingenmellomrom"/>
        <w:numPr>
          <w:ilvl w:val="1"/>
          <w:numId w:val="4"/>
        </w:numPr>
        <w:ind w:left="567" w:hanging="567"/>
        <w:rPr>
          <w:b/>
          <w:bCs/>
          <w:lang w:val="en-US"/>
        </w:rPr>
      </w:pPr>
      <w:r w:rsidRPr="00B07D5D">
        <w:rPr>
          <w:b/>
          <w:bCs/>
          <w:lang w:val="en-US"/>
        </w:rPr>
        <w:t xml:space="preserve">Representations and warranties of the </w:t>
      </w:r>
      <w:r w:rsidR="00430E2D" w:rsidRPr="00B07D5D">
        <w:rPr>
          <w:b/>
          <w:bCs/>
          <w:lang w:val="en-US"/>
        </w:rPr>
        <w:t>Share Lender[</w:t>
      </w:r>
      <w:r w:rsidR="00430E2D" w:rsidRPr="00B07D5D">
        <w:rPr>
          <w:b/>
          <w:bCs/>
          <w:highlight w:val="yellow"/>
          <w:lang w:val="en-US"/>
        </w:rPr>
        <w:t>s</w:t>
      </w:r>
      <w:r w:rsidR="00430E2D" w:rsidRPr="00B07D5D">
        <w:rPr>
          <w:b/>
          <w:bCs/>
          <w:lang w:val="en-US"/>
        </w:rPr>
        <w:t>]</w:t>
      </w:r>
    </w:p>
    <w:p w14:paraId="78F56149" w14:textId="4DED9A8B" w:rsidR="00EB4C40" w:rsidRPr="00B07D5D" w:rsidRDefault="00EB4C40" w:rsidP="00EB4C40">
      <w:pPr>
        <w:pStyle w:val="Ingenmellomrom"/>
        <w:ind w:left="567" w:hanging="567"/>
        <w:rPr>
          <w:lang w:val="en-US"/>
        </w:rPr>
      </w:pPr>
      <w:r w:rsidRPr="00B07D5D">
        <w:rPr>
          <w:lang w:val="en-US"/>
        </w:rPr>
        <w:tab/>
      </w:r>
      <w:r w:rsidR="00430E2D" w:rsidRPr="00B07D5D">
        <w:rPr>
          <w:lang w:val="en-US"/>
        </w:rPr>
        <w:t>[</w:t>
      </w:r>
      <w:r w:rsidR="00430E2D" w:rsidRPr="00B07D5D">
        <w:rPr>
          <w:highlight w:val="yellow"/>
          <w:lang w:val="en-US"/>
        </w:rPr>
        <w:t>Each/The</w:t>
      </w:r>
      <w:r w:rsidR="00430E2D" w:rsidRPr="00B07D5D">
        <w:rPr>
          <w:lang w:val="en-US"/>
        </w:rPr>
        <w:t>] Share Lender</w:t>
      </w:r>
      <w:r w:rsidRPr="00B07D5D">
        <w:rPr>
          <w:lang w:val="en-US"/>
        </w:rPr>
        <w:t xml:space="preserve"> hereby represents and warrants, and undertakes to the Settlement Agent </w:t>
      </w:r>
      <w:r w:rsidR="00430E2D" w:rsidRPr="00B07D5D">
        <w:rPr>
          <w:lang w:val="en-US"/>
        </w:rPr>
        <w:t xml:space="preserve">on a continuing basis, with the intent that such representations and warranties shall survive the completion of the transaction contemplated herein that, where acting as a lender of any Borrowed Shares hereunder: </w:t>
      </w:r>
    </w:p>
    <w:p w14:paraId="78A22ACC" w14:textId="77777777" w:rsidR="00EB4C40" w:rsidRPr="00B07D5D" w:rsidRDefault="00EB4C40" w:rsidP="00EB4C40">
      <w:pPr>
        <w:pStyle w:val="Ingenmellomrom"/>
        <w:ind w:left="567" w:hanging="567"/>
        <w:rPr>
          <w:lang w:val="en-US"/>
        </w:rPr>
      </w:pPr>
    </w:p>
    <w:p w14:paraId="0050C8ED" w14:textId="491D18B6" w:rsidR="00EB4C40" w:rsidRPr="00B07D5D" w:rsidRDefault="00430E2D" w:rsidP="00EB4C40">
      <w:pPr>
        <w:pStyle w:val="Ingenmellomrom"/>
        <w:numPr>
          <w:ilvl w:val="0"/>
          <w:numId w:val="6"/>
        </w:numPr>
        <w:rPr>
          <w:lang w:val="en-US"/>
        </w:rPr>
      </w:pPr>
      <w:r w:rsidRPr="00B07D5D">
        <w:rPr>
          <w:lang w:val="en-US"/>
        </w:rPr>
        <w:t xml:space="preserve">it is duly authorized and empowered to perform its duties and obligations under this Agreement; </w:t>
      </w:r>
    </w:p>
    <w:p w14:paraId="3638E678" w14:textId="77777777" w:rsidR="00EB4C40" w:rsidRPr="00B07D5D" w:rsidRDefault="00EB4C40" w:rsidP="00EB4C40">
      <w:pPr>
        <w:pStyle w:val="Ingenmellomrom"/>
        <w:ind w:left="1140"/>
        <w:rPr>
          <w:lang w:val="en-US"/>
        </w:rPr>
      </w:pPr>
    </w:p>
    <w:p w14:paraId="3FEE502E" w14:textId="1BAAFD1E" w:rsidR="00EB4C40" w:rsidRPr="00B07D5D" w:rsidRDefault="00430E2D" w:rsidP="00430E2D">
      <w:pPr>
        <w:pStyle w:val="Ingenmellomrom"/>
        <w:numPr>
          <w:ilvl w:val="0"/>
          <w:numId w:val="6"/>
        </w:numPr>
        <w:rPr>
          <w:lang w:val="en-US"/>
        </w:rPr>
      </w:pPr>
      <w:r w:rsidRPr="00B07D5D">
        <w:rPr>
          <w:lang w:val="en-US"/>
        </w:rPr>
        <w:t>it is not restricted under the terms of its constitution or in any other manner from lending the Borrowed Shares in accordance with this Agreement or from otherwise performing its obligations hereunder;</w:t>
      </w:r>
    </w:p>
    <w:p w14:paraId="36DE62E7" w14:textId="77777777" w:rsidR="00430E2D" w:rsidRPr="00B07D5D" w:rsidRDefault="00430E2D" w:rsidP="00430E2D">
      <w:pPr>
        <w:pStyle w:val="Ingenmellomrom"/>
        <w:ind w:left="1140"/>
        <w:rPr>
          <w:lang w:val="en-US"/>
        </w:rPr>
      </w:pPr>
    </w:p>
    <w:p w14:paraId="09BD1BC1" w14:textId="3FCEA427" w:rsidR="00430E2D" w:rsidRPr="00B07D5D" w:rsidRDefault="00430E2D" w:rsidP="00430E2D">
      <w:pPr>
        <w:pStyle w:val="Ingenmellomrom"/>
        <w:numPr>
          <w:ilvl w:val="0"/>
          <w:numId w:val="6"/>
        </w:numPr>
        <w:rPr>
          <w:lang w:val="en-US"/>
        </w:rPr>
      </w:pPr>
      <w:r w:rsidRPr="00B07D5D">
        <w:rPr>
          <w:lang w:val="en-US"/>
        </w:rPr>
        <w:t xml:space="preserve">it is entitled to pass full title of all Borrowed Shares provided by it hereunder to the Settlement Agent, free from all liens, charges and encumbrances; </w:t>
      </w:r>
    </w:p>
    <w:p w14:paraId="4F7F6C9C" w14:textId="77777777" w:rsidR="00430E2D" w:rsidRPr="00B07D5D" w:rsidRDefault="00430E2D" w:rsidP="00430E2D">
      <w:pPr>
        <w:pStyle w:val="Ingenmellomrom"/>
        <w:ind w:left="1140"/>
        <w:rPr>
          <w:lang w:val="en-US"/>
        </w:rPr>
      </w:pPr>
    </w:p>
    <w:p w14:paraId="66768DA9" w14:textId="402CEFC9" w:rsidR="00430E2D" w:rsidRPr="00B07D5D" w:rsidRDefault="00430E2D" w:rsidP="00430E2D">
      <w:pPr>
        <w:pStyle w:val="Ingenmellomrom"/>
        <w:numPr>
          <w:ilvl w:val="0"/>
          <w:numId w:val="6"/>
        </w:numPr>
        <w:rPr>
          <w:lang w:val="en-US"/>
        </w:rPr>
      </w:pPr>
      <w:r w:rsidRPr="00B07D5D">
        <w:rPr>
          <w:lang w:val="en-US"/>
        </w:rPr>
        <w:t xml:space="preserve">it is acting as principal in respect of this Agreement; and </w:t>
      </w:r>
    </w:p>
    <w:p w14:paraId="23A806E8" w14:textId="77777777" w:rsidR="0011145A" w:rsidRPr="00B07D5D" w:rsidRDefault="0011145A" w:rsidP="00430E2D">
      <w:pPr>
        <w:pStyle w:val="Ingenmellomrom"/>
        <w:ind w:left="1140"/>
        <w:rPr>
          <w:lang w:val="en-US"/>
        </w:rPr>
      </w:pPr>
    </w:p>
    <w:p w14:paraId="33E7BB21" w14:textId="1B77E404" w:rsidR="00430E2D" w:rsidRPr="00B07D5D" w:rsidRDefault="00430E2D" w:rsidP="00430E2D">
      <w:pPr>
        <w:pStyle w:val="Ingenmellomrom"/>
        <w:numPr>
          <w:ilvl w:val="0"/>
          <w:numId w:val="6"/>
        </w:numPr>
        <w:rPr>
          <w:lang w:val="en-US"/>
        </w:rPr>
      </w:pPr>
      <w:r w:rsidRPr="00B07D5D">
        <w:rPr>
          <w:lang w:val="en-US"/>
        </w:rPr>
        <w:t xml:space="preserve">it has made its own independent decision to enter into the arrangements under this Agreement on the terms and conditions set out herein and as to whether such arrangements are appropriate or proper for it based upon its own judgment and upon advice from such advisers as it has deemed necessary; and it is not relying on any communication (written or oral) of the Managers as investment advice or as a recommendation to enter into any arrangements under this Agreement; it being </w:t>
      </w:r>
      <w:r w:rsidRPr="00B07D5D">
        <w:rPr>
          <w:lang w:val="en-US"/>
        </w:rPr>
        <w:lastRenderedPageBreak/>
        <w:t xml:space="preserve">understood that information and explanations related to the terms and conditions of such arrangements shall not be considered investment advice or a recommendation and that communication (written or oral) received from the Managers shall not be deemed to be an assurance or guarantee as to the expected results of the arrangements entered into under this Agreement. </w:t>
      </w:r>
    </w:p>
    <w:p w14:paraId="643637AD" w14:textId="77777777" w:rsidR="00EB4C40" w:rsidRPr="00B07D5D" w:rsidRDefault="00EB4C40" w:rsidP="00EB4C40">
      <w:pPr>
        <w:pStyle w:val="Ingenmellomrom"/>
        <w:rPr>
          <w:lang w:val="en-US"/>
        </w:rPr>
      </w:pPr>
    </w:p>
    <w:p w14:paraId="5595A98B" w14:textId="78E1E3DC" w:rsidR="00430E2D" w:rsidRPr="00B07D5D" w:rsidRDefault="00430E2D" w:rsidP="00FD78F8">
      <w:pPr>
        <w:pStyle w:val="Ingenmellomrom"/>
        <w:numPr>
          <w:ilvl w:val="1"/>
          <w:numId w:val="4"/>
        </w:numPr>
        <w:ind w:left="567" w:hanging="567"/>
        <w:rPr>
          <w:b/>
          <w:bCs/>
          <w:lang w:val="en-US"/>
        </w:rPr>
      </w:pPr>
      <w:r w:rsidRPr="00B07D5D">
        <w:rPr>
          <w:b/>
          <w:bCs/>
          <w:lang w:val="en-US"/>
        </w:rPr>
        <w:t>Representations and warranties of the Settlement Agent</w:t>
      </w:r>
    </w:p>
    <w:p w14:paraId="69961D73" w14:textId="2F4EA402" w:rsidR="00430E2D" w:rsidRPr="00B07D5D" w:rsidRDefault="00430E2D" w:rsidP="00FD78F8">
      <w:pPr>
        <w:pStyle w:val="Ingenmellomrom"/>
        <w:ind w:left="567"/>
        <w:rPr>
          <w:lang w:val="en-US"/>
        </w:rPr>
      </w:pPr>
      <w:r w:rsidRPr="00B07D5D">
        <w:rPr>
          <w:lang w:val="en-US"/>
        </w:rPr>
        <w:t>The Settlement Agent hereby represents and warrants, and undertakes to the Share Lender[</w:t>
      </w:r>
      <w:r w:rsidRPr="00B07D5D">
        <w:rPr>
          <w:highlight w:val="yellow"/>
          <w:lang w:val="en-US"/>
        </w:rPr>
        <w:t>s</w:t>
      </w:r>
      <w:r w:rsidRPr="00B07D5D">
        <w:rPr>
          <w:lang w:val="en-US"/>
        </w:rPr>
        <w:t>] and the Company on a continuing basis, with the intent that such representations and warranties shall survive the completion of any transaction contemplated herein that, where acting as a borrower of any Borrowed Shares hereunder:</w:t>
      </w:r>
    </w:p>
    <w:p w14:paraId="3EF4AA75" w14:textId="77777777" w:rsidR="00430E2D" w:rsidRPr="00B07D5D" w:rsidRDefault="00430E2D" w:rsidP="00430E2D">
      <w:pPr>
        <w:pStyle w:val="Ingenmellomrom"/>
        <w:ind w:left="567" w:hanging="567"/>
        <w:rPr>
          <w:lang w:val="en-US"/>
        </w:rPr>
      </w:pPr>
    </w:p>
    <w:p w14:paraId="4B3C10A3" w14:textId="7A0E3F6B" w:rsidR="00430E2D" w:rsidRPr="00B07D5D" w:rsidRDefault="00430E2D" w:rsidP="00430E2D">
      <w:pPr>
        <w:pStyle w:val="Ingenmellomrom"/>
        <w:numPr>
          <w:ilvl w:val="0"/>
          <w:numId w:val="7"/>
        </w:numPr>
        <w:rPr>
          <w:lang w:val="en-US"/>
        </w:rPr>
      </w:pPr>
      <w:r w:rsidRPr="00B07D5D">
        <w:rPr>
          <w:lang w:val="en-US"/>
        </w:rPr>
        <w:t xml:space="preserve">it has all necessary licenses and approvals, and is duly authorized and empowered, to perform its duties and obligations under this Agreement and will do nothing prejudicial to the continuation of such authorization, licenses or approvals; </w:t>
      </w:r>
    </w:p>
    <w:p w14:paraId="5A5717A7" w14:textId="77777777" w:rsidR="00430E2D" w:rsidRPr="00B07D5D" w:rsidRDefault="00430E2D" w:rsidP="00430E2D">
      <w:pPr>
        <w:pStyle w:val="Ingenmellomrom"/>
        <w:ind w:left="1140"/>
        <w:rPr>
          <w:lang w:val="en-US"/>
        </w:rPr>
      </w:pPr>
    </w:p>
    <w:p w14:paraId="5A3344B9" w14:textId="2D5E42CC" w:rsidR="00430E2D" w:rsidRPr="00B07D5D" w:rsidRDefault="00430E2D" w:rsidP="00430E2D">
      <w:pPr>
        <w:pStyle w:val="Ingenmellomrom"/>
        <w:numPr>
          <w:ilvl w:val="0"/>
          <w:numId w:val="7"/>
        </w:numPr>
        <w:rPr>
          <w:lang w:val="en-US"/>
        </w:rPr>
      </w:pPr>
      <w:r w:rsidRPr="6D42CF0C">
        <w:rPr>
          <w:lang w:val="en-US"/>
        </w:rPr>
        <w:t xml:space="preserve">it is not restricted under the terms of its constitution or in any other manner from borrowing the Borrowed Shares in accordance with this Agreement or from otherwise performing its obligations hereunder; </w:t>
      </w:r>
    </w:p>
    <w:p w14:paraId="7BE04BFD" w14:textId="77777777" w:rsidR="00430E2D" w:rsidRPr="00B07D5D" w:rsidRDefault="00430E2D" w:rsidP="00430E2D">
      <w:pPr>
        <w:pStyle w:val="Ingenmellomrom"/>
        <w:ind w:left="1140"/>
        <w:rPr>
          <w:lang w:val="en-US"/>
        </w:rPr>
      </w:pPr>
    </w:p>
    <w:p w14:paraId="66D0207E" w14:textId="0A2711A6" w:rsidR="00430E2D" w:rsidRPr="00B07D5D" w:rsidRDefault="00430E2D" w:rsidP="00430E2D">
      <w:pPr>
        <w:pStyle w:val="Ingenmellomrom"/>
        <w:numPr>
          <w:ilvl w:val="0"/>
          <w:numId w:val="7"/>
        </w:numPr>
        <w:rPr>
          <w:lang w:val="en-US"/>
        </w:rPr>
      </w:pPr>
      <w:r w:rsidRPr="6D42CF0C">
        <w:rPr>
          <w:lang w:val="en-US"/>
        </w:rPr>
        <w:t>subject to the terms hereof, it is entitled to pass full legal and beneficial ownership of the shares in the Company to the Share Lender[</w:t>
      </w:r>
      <w:r w:rsidRPr="6D42CF0C">
        <w:rPr>
          <w:highlight w:val="yellow"/>
          <w:lang w:val="en-US"/>
        </w:rPr>
        <w:t>s</w:t>
      </w:r>
      <w:r w:rsidRPr="6D42CF0C">
        <w:rPr>
          <w:lang w:val="en-US"/>
        </w:rPr>
        <w:t>] in order to fulfil its lending obligation by redelivery of Offer Shares to the Share Lender[</w:t>
      </w:r>
      <w:r w:rsidRPr="6D42CF0C">
        <w:rPr>
          <w:highlight w:val="yellow"/>
          <w:lang w:val="en-US"/>
        </w:rPr>
        <w:t>s</w:t>
      </w:r>
      <w:r w:rsidRPr="6D42CF0C">
        <w:rPr>
          <w:lang w:val="en-US"/>
        </w:rPr>
        <w:t>] pursuant to this Agreement, free from all liens, charges and encumbrances;</w:t>
      </w:r>
      <w:r w:rsidR="007C7545">
        <w:rPr>
          <w:lang w:val="en-US"/>
        </w:rPr>
        <w:t xml:space="preserve"> and</w:t>
      </w:r>
    </w:p>
    <w:p w14:paraId="597B7E14" w14:textId="77777777" w:rsidR="00430E2D" w:rsidRPr="00B07D5D" w:rsidRDefault="00430E2D" w:rsidP="00430E2D">
      <w:pPr>
        <w:pStyle w:val="Ingenmellomrom"/>
        <w:ind w:left="1140"/>
        <w:rPr>
          <w:lang w:val="en-US"/>
        </w:rPr>
      </w:pPr>
    </w:p>
    <w:p w14:paraId="71A0AC37" w14:textId="084CCED9" w:rsidR="00430E2D" w:rsidRPr="00B07D5D" w:rsidRDefault="00430E2D" w:rsidP="00430E2D">
      <w:pPr>
        <w:pStyle w:val="Ingenmellomrom"/>
        <w:numPr>
          <w:ilvl w:val="0"/>
          <w:numId w:val="7"/>
        </w:numPr>
        <w:rPr>
          <w:lang w:val="en-US"/>
        </w:rPr>
      </w:pPr>
      <w:r w:rsidRPr="00B07D5D">
        <w:rPr>
          <w:lang w:val="en-US"/>
        </w:rPr>
        <w:t>it is acting as principal in respect of this Agreement.</w:t>
      </w:r>
    </w:p>
    <w:p w14:paraId="69AC2E2A" w14:textId="4D70D6E8" w:rsidR="00430E2D" w:rsidRPr="00B07D5D" w:rsidRDefault="00430E2D" w:rsidP="00430E2D">
      <w:pPr>
        <w:pStyle w:val="Ingenmellomrom"/>
        <w:rPr>
          <w:lang w:val="en-US"/>
        </w:rPr>
      </w:pPr>
    </w:p>
    <w:p w14:paraId="065C334D" w14:textId="724F4B67" w:rsidR="00EB4C40" w:rsidRPr="00B07D5D" w:rsidRDefault="00B07D5D" w:rsidP="00EB4C40">
      <w:pPr>
        <w:pStyle w:val="Overskrift2"/>
        <w:rPr>
          <w:lang w:val="en-US"/>
        </w:rPr>
      </w:pPr>
      <w:bookmarkStart w:id="4" w:name="_Ref142917280"/>
      <w:r>
        <w:rPr>
          <w:lang w:val="en-US"/>
        </w:rPr>
        <w:t>Indemnity and l</w:t>
      </w:r>
      <w:r w:rsidRPr="00B07D5D">
        <w:rPr>
          <w:lang w:val="en-US"/>
        </w:rPr>
        <w:t>iability</w:t>
      </w:r>
      <w:bookmarkEnd w:id="4"/>
    </w:p>
    <w:p w14:paraId="7F09EF60" w14:textId="26D8D6E0" w:rsidR="00B07D5D" w:rsidRPr="00B07D5D" w:rsidRDefault="00CF17AD" w:rsidP="00B07D5D">
      <w:pPr>
        <w:pStyle w:val="Ingenmellomrom"/>
        <w:numPr>
          <w:ilvl w:val="1"/>
          <w:numId w:val="4"/>
        </w:numPr>
        <w:ind w:left="567" w:hanging="567"/>
        <w:rPr>
          <w:lang w:val="en-US"/>
        </w:rPr>
      </w:pPr>
      <w:r>
        <w:rPr>
          <w:lang w:val="en-US"/>
        </w:rPr>
        <w:t>Without prejudice to the indemnity set out in the Engagement Letter, t</w:t>
      </w:r>
      <w:r w:rsidR="00B07D5D" w:rsidRPr="6D42CF0C">
        <w:rPr>
          <w:lang w:val="en-US"/>
        </w:rPr>
        <w:t xml:space="preserve">he Company will indemnify, and keep indemnified, </w:t>
      </w:r>
      <w:r>
        <w:rPr>
          <w:lang w:val="en-US"/>
        </w:rPr>
        <w:t xml:space="preserve">each of the </w:t>
      </w:r>
      <w:r w:rsidR="00B07D5D" w:rsidRPr="6D42CF0C">
        <w:rPr>
          <w:lang w:val="en-US"/>
        </w:rPr>
        <w:t xml:space="preserve"> Manager</w:t>
      </w:r>
      <w:r>
        <w:rPr>
          <w:lang w:val="en-US"/>
        </w:rPr>
        <w:t xml:space="preserve"> and the Settlement Agent</w:t>
      </w:r>
      <w:r w:rsidR="00B07D5D" w:rsidRPr="6D42CF0C">
        <w:rPr>
          <w:lang w:val="en-US"/>
        </w:rPr>
        <w:t xml:space="preserve"> and their representatives</w:t>
      </w:r>
      <w:r w:rsidR="018A0D7F" w:rsidRPr="6D42CF0C">
        <w:rPr>
          <w:lang w:val="en-US"/>
        </w:rPr>
        <w:t xml:space="preserve"> </w:t>
      </w:r>
      <w:r w:rsidR="00B002D6">
        <w:rPr>
          <w:lang w:val="en-US"/>
        </w:rPr>
        <w:t xml:space="preserve">on demand </w:t>
      </w:r>
      <w:r w:rsidR="018A0D7F" w:rsidRPr="6D42CF0C">
        <w:rPr>
          <w:lang w:val="en-US"/>
        </w:rPr>
        <w:t xml:space="preserve">to the fullest extent permitted by applicable law </w:t>
      </w:r>
      <w:r w:rsidR="00B002D6" w:rsidRPr="00C8772A">
        <w:rPr>
          <w:rFonts w:eastAsiaTheme="minorEastAsia"/>
          <w:color w:val="000000" w:themeColor="text1"/>
          <w:lang w:val="en-US"/>
        </w:rPr>
        <w:t xml:space="preserve">for and against all and any losses, costs, taxes, claims, liabilities, damages, demands and expenses suffered or incurred by the </w:t>
      </w:r>
      <w:r w:rsidR="00B002D6" w:rsidRPr="6D42CF0C">
        <w:rPr>
          <w:rFonts w:eastAsiaTheme="minorEastAsia"/>
          <w:color w:val="000000" w:themeColor="text1"/>
          <w:lang w:val="en-US"/>
        </w:rPr>
        <w:t xml:space="preserve">Managers </w:t>
      </w:r>
      <w:r w:rsidR="00B002D6" w:rsidRPr="00C8772A">
        <w:rPr>
          <w:rFonts w:eastAsiaTheme="minorEastAsia"/>
          <w:color w:val="000000" w:themeColor="text1"/>
          <w:lang w:val="en-US"/>
        </w:rPr>
        <w:t>and/or Settlement Agent in relation to this Agreement and the transactions contemplated by this Agreement</w:t>
      </w:r>
      <w:r w:rsidR="00B002D6">
        <w:rPr>
          <w:rFonts w:eastAsiaTheme="minorEastAsia"/>
          <w:color w:val="000000" w:themeColor="text1"/>
          <w:lang w:val="en-US"/>
        </w:rPr>
        <w:t>.</w:t>
      </w:r>
      <w:r w:rsidR="00B002D6" w:rsidRPr="6D42CF0C" w:rsidDel="00B002D6">
        <w:rPr>
          <w:lang w:val="en-US"/>
        </w:rPr>
        <w:t xml:space="preserve"> </w:t>
      </w:r>
    </w:p>
    <w:p w14:paraId="1021CD7C" w14:textId="3BA8FBB3" w:rsidR="6D42CF0C" w:rsidRDefault="6D42CF0C" w:rsidP="00C8772A">
      <w:pPr>
        <w:pStyle w:val="Ingenmellomrom"/>
        <w:ind w:left="567" w:hanging="567"/>
        <w:rPr>
          <w:lang w:val="en-US"/>
        </w:rPr>
      </w:pPr>
    </w:p>
    <w:p w14:paraId="1F602155" w14:textId="1A15AE13" w:rsidR="12DD5D49" w:rsidRPr="00C8772A" w:rsidRDefault="12DD5D49" w:rsidP="6D42CF0C">
      <w:pPr>
        <w:pStyle w:val="Ingenmellomrom"/>
        <w:numPr>
          <w:ilvl w:val="1"/>
          <w:numId w:val="4"/>
        </w:numPr>
        <w:ind w:left="567" w:hanging="567"/>
        <w:rPr>
          <w:rFonts w:eastAsiaTheme="minorEastAsia"/>
          <w:lang w:val="en-US"/>
        </w:rPr>
      </w:pPr>
      <w:r w:rsidRPr="00C8772A">
        <w:rPr>
          <w:rFonts w:eastAsiaTheme="minorEastAsia"/>
          <w:color w:val="000000" w:themeColor="text1"/>
          <w:lang w:val="en-US"/>
        </w:rPr>
        <w:t xml:space="preserve">The </w:t>
      </w:r>
      <w:r w:rsidR="007C7545" w:rsidRPr="00B07D5D">
        <w:rPr>
          <w:lang w:val="en-US"/>
        </w:rPr>
        <w:t>Share Lender[</w:t>
      </w:r>
      <w:r w:rsidR="007C7545" w:rsidRPr="00B07D5D">
        <w:rPr>
          <w:highlight w:val="yellow"/>
          <w:lang w:val="en-US"/>
        </w:rPr>
        <w:t>s</w:t>
      </w:r>
      <w:r w:rsidR="007C7545" w:rsidRPr="00B07D5D">
        <w:rPr>
          <w:lang w:val="en-US"/>
        </w:rPr>
        <w:t>]</w:t>
      </w:r>
      <w:r w:rsidR="007C7545">
        <w:rPr>
          <w:lang w:val="en-US"/>
        </w:rPr>
        <w:t xml:space="preserve"> </w:t>
      </w:r>
      <w:r w:rsidRPr="00C8772A">
        <w:rPr>
          <w:rFonts w:eastAsiaTheme="minorEastAsia"/>
          <w:color w:val="000000" w:themeColor="text1"/>
          <w:lang w:val="en-US"/>
        </w:rPr>
        <w:t xml:space="preserve">will indemnify, and keep indemnified, </w:t>
      </w:r>
      <w:r w:rsidR="00CF17AD">
        <w:rPr>
          <w:rFonts w:eastAsiaTheme="minorEastAsia"/>
          <w:color w:val="000000" w:themeColor="text1"/>
          <w:lang w:val="en-US"/>
        </w:rPr>
        <w:t xml:space="preserve">each </w:t>
      </w:r>
      <w:r w:rsidR="00B002D6">
        <w:rPr>
          <w:rFonts w:eastAsiaTheme="minorEastAsia"/>
          <w:color w:val="000000" w:themeColor="text1"/>
          <w:lang w:val="en-US"/>
        </w:rPr>
        <w:t xml:space="preserve">of </w:t>
      </w:r>
      <w:r w:rsidR="1209F531" w:rsidRPr="6D42CF0C">
        <w:rPr>
          <w:rFonts w:eastAsiaTheme="minorEastAsia"/>
          <w:color w:val="000000" w:themeColor="text1"/>
          <w:lang w:val="en-US"/>
        </w:rPr>
        <w:t>Manager</w:t>
      </w:r>
      <w:r w:rsidR="00B002D6">
        <w:rPr>
          <w:rFonts w:eastAsiaTheme="minorEastAsia"/>
          <w:color w:val="000000" w:themeColor="text1"/>
          <w:lang w:val="en-US"/>
        </w:rPr>
        <w:t>s</w:t>
      </w:r>
      <w:r w:rsidR="1C3999EF" w:rsidRPr="6D42CF0C">
        <w:rPr>
          <w:rFonts w:eastAsiaTheme="minorEastAsia"/>
          <w:color w:val="000000" w:themeColor="text1"/>
          <w:lang w:val="en-US"/>
        </w:rPr>
        <w:t xml:space="preserve"> </w:t>
      </w:r>
      <w:r w:rsidRPr="00C8772A">
        <w:rPr>
          <w:rFonts w:eastAsiaTheme="minorEastAsia"/>
          <w:color w:val="000000" w:themeColor="text1"/>
          <w:lang w:val="en-US"/>
        </w:rPr>
        <w:t xml:space="preserve">and the Settlement Agent and their representatives on demand for and against all and any losses, costs, taxes, claims, liabilities, damages, demands and expenses suffered or incurred by the </w:t>
      </w:r>
      <w:r w:rsidR="49D9EDC6" w:rsidRPr="6D42CF0C">
        <w:rPr>
          <w:rFonts w:eastAsiaTheme="minorEastAsia"/>
          <w:color w:val="000000" w:themeColor="text1"/>
          <w:lang w:val="en-US"/>
        </w:rPr>
        <w:t>Managers</w:t>
      </w:r>
      <w:r w:rsidR="246F955A" w:rsidRPr="6D42CF0C">
        <w:rPr>
          <w:rFonts w:eastAsiaTheme="minorEastAsia"/>
          <w:color w:val="000000" w:themeColor="text1"/>
          <w:lang w:val="en-US"/>
        </w:rPr>
        <w:t xml:space="preserve"> </w:t>
      </w:r>
      <w:r w:rsidRPr="00C8772A">
        <w:rPr>
          <w:rFonts w:eastAsiaTheme="minorEastAsia"/>
          <w:color w:val="000000" w:themeColor="text1"/>
          <w:lang w:val="en-US"/>
        </w:rPr>
        <w:t>and/or Settlement Agent in relation to this Agreement and the transactions contemplated by this Agreement</w:t>
      </w:r>
      <w:r w:rsidR="009C64E0">
        <w:rPr>
          <w:rFonts w:eastAsiaTheme="minorEastAsia"/>
          <w:color w:val="000000" w:themeColor="text1"/>
          <w:lang w:val="en-US"/>
        </w:rPr>
        <w:t>.</w:t>
      </w:r>
    </w:p>
    <w:p w14:paraId="3B3131E2" w14:textId="77777777" w:rsidR="00B07D5D" w:rsidRPr="00B07D5D" w:rsidRDefault="00B07D5D" w:rsidP="00B07D5D">
      <w:pPr>
        <w:pStyle w:val="Ingenmellomrom"/>
        <w:rPr>
          <w:lang w:val="en-US"/>
        </w:rPr>
      </w:pPr>
    </w:p>
    <w:p w14:paraId="10F2E7A6" w14:textId="08AA9489" w:rsidR="00F325FB" w:rsidRPr="00A01E1E" w:rsidRDefault="19B5B038" w:rsidP="094D5FB4">
      <w:pPr>
        <w:pStyle w:val="Ingenmellomrom"/>
        <w:numPr>
          <w:ilvl w:val="1"/>
          <w:numId w:val="4"/>
        </w:numPr>
        <w:ind w:left="567" w:hanging="567"/>
        <w:rPr>
          <w:rFonts w:ascii="Calibri" w:eastAsia="Calibri" w:hAnsi="Calibri" w:cs="Calibri"/>
          <w:sz w:val="21"/>
          <w:szCs w:val="21"/>
          <w:lang w:val="en-US"/>
        </w:rPr>
      </w:pPr>
      <w:bookmarkStart w:id="5" w:name="_Ref142488825"/>
      <w:r w:rsidRPr="00F77D71">
        <w:rPr>
          <w:lang w:val="en-US"/>
        </w:rPr>
        <w:t>O</w:t>
      </w:r>
      <w:r w:rsidR="00B07D5D" w:rsidRPr="00F77D71">
        <w:rPr>
          <w:lang w:val="en-US"/>
        </w:rPr>
        <w:t xml:space="preserve">ther than in the case of fraud, gross negligence or willful misconduct of the Managers </w:t>
      </w:r>
      <w:r w:rsidR="00DB25E3">
        <w:rPr>
          <w:lang w:val="en-US"/>
        </w:rPr>
        <w:t xml:space="preserve"> or S</w:t>
      </w:r>
      <w:r w:rsidR="0099040F">
        <w:rPr>
          <w:lang w:val="en-US"/>
        </w:rPr>
        <w:t xml:space="preserve">ettlement Agent </w:t>
      </w:r>
      <w:r w:rsidR="00B07D5D" w:rsidRPr="00F77D71">
        <w:rPr>
          <w:lang w:val="en-US"/>
        </w:rPr>
        <w:t xml:space="preserve">of their duties or obligations hereunder, </w:t>
      </w:r>
      <w:r w:rsidR="00F41280">
        <w:rPr>
          <w:lang w:val="en-US"/>
        </w:rPr>
        <w:t>none of</w:t>
      </w:r>
      <w:r w:rsidR="00F41280" w:rsidRPr="00F77D71">
        <w:rPr>
          <w:lang w:val="en-US"/>
        </w:rPr>
        <w:t xml:space="preserve"> </w:t>
      </w:r>
      <w:r w:rsidR="00B07D5D" w:rsidRPr="00F77D71">
        <w:rPr>
          <w:lang w:val="en-US"/>
        </w:rPr>
        <w:t>the Managers</w:t>
      </w:r>
      <w:r w:rsidR="00F41280">
        <w:rPr>
          <w:lang w:val="en-US"/>
        </w:rPr>
        <w:t>,</w:t>
      </w:r>
      <w:r w:rsidR="00B07D5D" w:rsidRPr="00F77D71">
        <w:rPr>
          <w:lang w:val="en-US"/>
        </w:rPr>
        <w:t xml:space="preserve"> </w:t>
      </w:r>
      <w:r w:rsidR="00753E54">
        <w:rPr>
          <w:lang w:val="en-US"/>
        </w:rPr>
        <w:t>S</w:t>
      </w:r>
      <w:r w:rsidR="00F41280">
        <w:rPr>
          <w:lang w:val="en-US"/>
        </w:rPr>
        <w:t>e</w:t>
      </w:r>
      <w:r w:rsidR="00753E54">
        <w:rPr>
          <w:lang w:val="en-US"/>
        </w:rPr>
        <w:t>ttlement Agent</w:t>
      </w:r>
      <w:r w:rsidR="00905AB5">
        <w:rPr>
          <w:lang w:val="en-US"/>
        </w:rPr>
        <w:t xml:space="preserve"> </w:t>
      </w:r>
      <w:r w:rsidR="00B07D5D" w:rsidRPr="00F77D71">
        <w:rPr>
          <w:lang w:val="en-US"/>
        </w:rPr>
        <w:t xml:space="preserve">or any of their </w:t>
      </w:r>
      <w:r w:rsidR="00905AB5">
        <w:rPr>
          <w:lang w:val="en-US"/>
        </w:rPr>
        <w:t xml:space="preserve">respective </w:t>
      </w:r>
      <w:r w:rsidR="00B07D5D" w:rsidRPr="00F77D71">
        <w:rPr>
          <w:lang w:val="en-US"/>
        </w:rPr>
        <w:t>directors, employees or advisers shall be liable for any losses, claims, damages, costs, charges, expenses or liabilities which the Share Lender[</w:t>
      </w:r>
      <w:r w:rsidR="00B07D5D" w:rsidRPr="00F77D71">
        <w:rPr>
          <w:highlight w:val="yellow"/>
          <w:lang w:val="en-US"/>
        </w:rPr>
        <w:t>s</w:t>
      </w:r>
      <w:r w:rsidR="00B07D5D" w:rsidRPr="00F77D71">
        <w:rPr>
          <w:lang w:val="en-US"/>
        </w:rPr>
        <w:t xml:space="preserve">] </w:t>
      </w:r>
      <w:r w:rsidR="2704A470" w:rsidRPr="00F77D71">
        <w:rPr>
          <w:lang w:val="en-US"/>
        </w:rPr>
        <w:t>or</w:t>
      </w:r>
      <w:r w:rsidR="001C0502">
        <w:rPr>
          <w:lang w:val="en-US"/>
        </w:rPr>
        <w:t xml:space="preserve"> the</w:t>
      </w:r>
      <w:r w:rsidR="2704A470" w:rsidRPr="00F77D71">
        <w:rPr>
          <w:lang w:val="en-US"/>
        </w:rPr>
        <w:t xml:space="preserve"> Company </w:t>
      </w:r>
      <w:r w:rsidR="00B07D5D" w:rsidRPr="00F77D71">
        <w:rPr>
          <w:lang w:val="en-US"/>
        </w:rPr>
        <w:t>may suffer or incur in connection with the lending of the Borrowed Shares or this Agreement. This exclusion of liability includes, but is not limited to, losses, claims, damages, costs, charges, expenses or liabilities suffered as a result of</w:t>
      </w:r>
      <w:r w:rsidR="7A757488" w:rsidRPr="00F77D71">
        <w:rPr>
          <w:lang w:val="en-US"/>
        </w:rPr>
        <w:t xml:space="preserve"> (i)</w:t>
      </w:r>
      <w:r w:rsidR="00B07D5D" w:rsidRPr="00F77D71">
        <w:rPr>
          <w:lang w:val="en-US"/>
        </w:rPr>
        <w:t xml:space="preserve"> the failure of </w:t>
      </w:r>
      <w:r w:rsidR="6F91E6A4" w:rsidRPr="00F77D71">
        <w:rPr>
          <w:lang w:val="en-US"/>
        </w:rPr>
        <w:t>re-</w:t>
      </w:r>
      <w:r w:rsidR="00B07D5D" w:rsidRPr="00F77D71">
        <w:rPr>
          <w:lang w:val="en-US"/>
        </w:rPr>
        <w:t>delivery of Actual Borrowed Shares to the Share Lender[</w:t>
      </w:r>
      <w:r w:rsidR="00B07D5D" w:rsidRPr="00F77D71">
        <w:rPr>
          <w:highlight w:val="yellow"/>
          <w:lang w:val="en-US"/>
        </w:rPr>
        <w:t>s</w:t>
      </w:r>
      <w:r w:rsidR="00B07D5D" w:rsidRPr="00F77D71">
        <w:rPr>
          <w:lang w:val="en-US"/>
        </w:rPr>
        <w:t xml:space="preserve">] due to the </w:t>
      </w:r>
      <w:r w:rsidR="00B07D5D" w:rsidRPr="00642260">
        <w:rPr>
          <w:rFonts w:cstheme="minorHAnsi"/>
          <w:lang w:val="en-US"/>
        </w:rPr>
        <w:t xml:space="preserve">Company </w:t>
      </w:r>
      <w:r w:rsidR="00D65BED" w:rsidRPr="00642260">
        <w:rPr>
          <w:rStyle w:val="cf01"/>
          <w:rFonts w:asciiTheme="minorHAnsi" w:hAnsiTheme="minorHAnsi" w:cstheme="minorHAnsi"/>
          <w:sz w:val="22"/>
          <w:szCs w:val="22"/>
          <w:lang w:val="en-GB"/>
        </w:rPr>
        <w:t>not issuing a sufficient number of Offer Shares or any Offer Shares at all,</w:t>
      </w:r>
      <w:r w:rsidR="00642260" w:rsidRPr="00642260" w:rsidDel="00642260">
        <w:rPr>
          <w:rFonts w:cstheme="minorHAnsi"/>
          <w:lang w:val="en-US"/>
        </w:rPr>
        <w:t xml:space="preserve"> </w:t>
      </w:r>
      <w:r w:rsidR="5058436F" w:rsidRPr="00642260">
        <w:rPr>
          <w:rFonts w:cstheme="minorHAnsi"/>
          <w:lang w:val="en-US"/>
        </w:rPr>
        <w:t>,</w:t>
      </w:r>
      <w:r w:rsidR="5058436F" w:rsidRPr="00F77D71">
        <w:rPr>
          <w:lang w:val="en-US"/>
        </w:rPr>
        <w:t xml:space="preserve"> </w:t>
      </w:r>
      <w:r w:rsidR="68A2AB00" w:rsidRPr="00F77D71">
        <w:rPr>
          <w:lang w:val="en-US"/>
        </w:rPr>
        <w:t>[</w:t>
      </w:r>
      <w:r w:rsidR="68A2AB00" w:rsidRPr="094D5FB4">
        <w:rPr>
          <w:highlight w:val="yellow"/>
          <w:lang w:val="en-US"/>
        </w:rPr>
        <w:t xml:space="preserve">(ii) </w:t>
      </w:r>
      <w:r w:rsidR="5058436F" w:rsidRPr="094D5FB4">
        <w:rPr>
          <w:highlight w:val="yellow"/>
          <w:lang w:val="en-US"/>
        </w:rPr>
        <w:t xml:space="preserve">due to the Company not publishing the </w:t>
      </w:r>
      <w:r w:rsidR="00D3087B">
        <w:rPr>
          <w:highlight w:val="yellow"/>
          <w:lang w:val="en-US"/>
        </w:rPr>
        <w:t xml:space="preserve">Listing </w:t>
      </w:r>
      <w:r w:rsidR="5058436F" w:rsidRPr="094D5FB4">
        <w:rPr>
          <w:highlight w:val="yellow"/>
          <w:lang w:val="en-US"/>
        </w:rPr>
        <w:t>Prospectus and list</w:t>
      </w:r>
      <w:r w:rsidR="00087C63">
        <w:rPr>
          <w:highlight w:val="yellow"/>
          <w:lang w:val="en-US"/>
        </w:rPr>
        <w:t>ing</w:t>
      </w:r>
      <w:r w:rsidR="5058436F" w:rsidRPr="094D5FB4">
        <w:rPr>
          <w:highlight w:val="yellow"/>
          <w:lang w:val="en-US"/>
        </w:rPr>
        <w:t xml:space="preserve"> the Offer Shares]</w:t>
      </w:r>
      <w:r w:rsidR="00B07D5D" w:rsidRPr="00F77D71">
        <w:rPr>
          <w:lang w:val="en-US"/>
        </w:rPr>
        <w:t xml:space="preserve"> or </w:t>
      </w:r>
      <w:r w:rsidR="3144D5CD" w:rsidRPr="00F77D71">
        <w:rPr>
          <w:lang w:val="en-US"/>
        </w:rPr>
        <w:t>[</w:t>
      </w:r>
      <w:r w:rsidR="3144D5CD" w:rsidRPr="00DF4831">
        <w:rPr>
          <w:highlight w:val="yellow"/>
          <w:lang w:val="en-US"/>
        </w:rPr>
        <w:t>(i</w:t>
      </w:r>
      <w:r w:rsidR="00A52E6A">
        <w:rPr>
          <w:highlight w:val="yellow"/>
          <w:lang w:val="en-US"/>
        </w:rPr>
        <w:t>ii</w:t>
      </w:r>
      <w:r w:rsidR="3144D5CD" w:rsidRPr="00DF4831">
        <w:rPr>
          <w:highlight w:val="yellow"/>
          <w:lang w:val="en-US"/>
        </w:rPr>
        <w:t>)</w:t>
      </w:r>
      <w:r w:rsidR="3144D5CD" w:rsidRPr="00F77D71">
        <w:rPr>
          <w:lang w:val="en-US"/>
        </w:rPr>
        <w:t xml:space="preserve">] </w:t>
      </w:r>
      <w:r w:rsidR="00B07D5D" w:rsidRPr="00F77D71">
        <w:rPr>
          <w:lang w:val="en-US"/>
        </w:rPr>
        <w:t xml:space="preserve">due to breach by any party other than </w:t>
      </w:r>
      <w:r w:rsidR="00B07D5D" w:rsidRPr="00F77D71">
        <w:rPr>
          <w:lang w:val="en-US"/>
        </w:rPr>
        <w:lastRenderedPageBreak/>
        <w:t xml:space="preserve">the Managers of obligations under this Agreement or any other agreement governing the Offering. </w:t>
      </w:r>
    </w:p>
    <w:p w14:paraId="1E4CA2EC" w14:textId="77777777" w:rsidR="00A01E1E" w:rsidRPr="00DF4831" w:rsidRDefault="00A01E1E" w:rsidP="00A01E1E">
      <w:pPr>
        <w:pStyle w:val="Ingenmellomrom"/>
        <w:ind w:left="567"/>
        <w:rPr>
          <w:rFonts w:ascii="Calibri" w:eastAsia="Calibri" w:hAnsi="Calibri" w:cs="Calibri"/>
          <w:sz w:val="21"/>
          <w:szCs w:val="21"/>
          <w:lang w:val="en-US"/>
        </w:rPr>
      </w:pPr>
    </w:p>
    <w:p w14:paraId="35052BA1" w14:textId="7F9F9C16" w:rsidR="00CB1EA2" w:rsidRDefault="70C666AF" w:rsidP="00B07D5D">
      <w:pPr>
        <w:pStyle w:val="Ingenmellomrom"/>
        <w:numPr>
          <w:ilvl w:val="1"/>
          <w:numId w:val="4"/>
        </w:numPr>
        <w:ind w:left="567" w:hanging="567"/>
        <w:rPr>
          <w:lang w:val="en-US"/>
        </w:rPr>
      </w:pPr>
      <w:r w:rsidRPr="00F77D71">
        <w:rPr>
          <w:lang w:val="en-US"/>
        </w:rPr>
        <w:t xml:space="preserve">The Managers </w:t>
      </w:r>
      <w:r w:rsidR="00F325FB">
        <w:rPr>
          <w:lang w:val="en-US"/>
        </w:rPr>
        <w:t xml:space="preserve">liability </w:t>
      </w:r>
      <w:r w:rsidRPr="00F77D71">
        <w:rPr>
          <w:lang w:val="en-US"/>
        </w:rPr>
        <w:t xml:space="preserve">shall in </w:t>
      </w:r>
      <w:r w:rsidR="00F325FB">
        <w:rPr>
          <w:lang w:val="en-US"/>
        </w:rPr>
        <w:t xml:space="preserve">any </w:t>
      </w:r>
      <w:r w:rsidRPr="00F77D71">
        <w:rPr>
          <w:lang w:val="en-US"/>
        </w:rPr>
        <w:t xml:space="preserve">circumstances be </w:t>
      </w:r>
      <w:r w:rsidR="00F325FB">
        <w:rPr>
          <w:lang w:val="en-US"/>
        </w:rPr>
        <w:t xml:space="preserve">limited to direct losses and there shall </w:t>
      </w:r>
      <w:r w:rsidR="00594E07">
        <w:rPr>
          <w:lang w:val="en-US"/>
        </w:rPr>
        <w:t xml:space="preserve">be </w:t>
      </w:r>
      <w:r w:rsidR="00F325FB">
        <w:rPr>
          <w:lang w:val="en-US"/>
        </w:rPr>
        <w:t xml:space="preserve">no liability </w:t>
      </w:r>
      <w:r w:rsidRPr="00F77D71">
        <w:rPr>
          <w:lang w:val="en-US"/>
        </w:rPr>
        <w:t>for indirect loss</w:t>
      </w:r>
      <w:r w:rsidR="00087C63">
        <w:rPr>
          <w:lang w:val="en-US"/>
        </w:rPr>
        <w:t>es</w:t>
      </w:r>
      <w:r w:rsidRPr="00F77D71">
        <w:rPr>
          <w:lang w:val="en-US"/>
        </w:rPr>
        <w:t xml:space="preserve"> of any kind that may be incurred by the Share Lende</w:t>
      </w:r>
      <w:r w:rsidR="2558AB14" w:rsidRPr="00F77D71">
        <w:rPr>
          <w:lang w:val="en-US"/>
        </w:rPr>
        <w:t>r[</w:t>
      </w:r>
      <w:r w:rsidR="2558AB14" w:rsidRPr="00DF4831">
        <w:rPr>
          <w:highlight w:val="yellow"/>
          <w:lang w:val="en-US"/>
        </w:rPr>
        <w:t>s]</w:t>
      </w:r>
      <w:r w:rsidR="2558AB14" w:rsidRPr="00F77D71">
        <w:rPr>
          <w:lang w:val="en-US"/>
        </w:rPr>
        <w:t xml:space="preserve"> or the Company in relation to this Agreement or the transactions completed by this Agreement.</w:t>
      </w:r>
      <w:r w:rsidR="261964FE" w:rsidRPr="00F77D71">
        <w:rPr>
          <w:lang w:val="en-US"/>
        </w:rPr>
        <w:t xml:space="preserve"> </w:t>
      </w:r>
      <w:r w:rsidR="0696AB27" w:rsidRPr="00F77D71">
        <w:rPr>
          <w:lang w:val="en-US"/>
        </w:rPr>
        <w:t>Further, e</w:t>
      </w:r>
      <w:r w:rsidR="261964FE" w:rsidRPr="00F77D71">
        <w:rPr>
          <w:lang w:val="en-US"/>
        </w:rPr>
        <w:t xml:space="preserve">ach </w:t>
      </w:r>
      <w:bookmarkEnd w:id="5"/>
      <w:r w:rsidR="261964FE" w:rsidRPr="00DF4831">
        <w:rPr>
          <w:lang w:val="en-US"/>
        </w:rPr>
        <w:t>Manager</w:t>
      </w:r>
      <w:r w:rsidR="5A899F34" w:rsidRPr="00DF4831">
        <w:rPr>
          <w:lang w:val="en-US"/>
        </w:rPr>
        <w:t>’</w:t>
      </w:r>
      <w:r w:rsidR="261964FE" w:rsidRPr="00DF4831">
        <w:rPr>
          <w:lang w:val="en-US"/>
        </w:rPr>
        <w:t>s liability towards the Share Lender</w:t>
      </w:r>
      <w:r w:rsidR="261964FE" w:rsidRPr="00DF4831">
        <w:rPr>
          <w:highlight w:val="yellow"/>
          <w:lang w:val="en-US"/>
        </w:rPr>
        <w:t>[s</w:t>
      </w:r>
      <w:r w:rsidR="261964FE" w:rsidRPr="00DF4831">
        <w:rPr>
          <w:lang w:val="en-US"/>
        </w:rPr>
        <w:t xml:space="preserve">] </w:t>
      </w:r>
      <w:r w:rsidR="7EF48BED" w:rsidRPr="00DF4831">
        <w:rPr>
          <w:lang w:val="en-US"/>
        </w:rPr>
        <w:t>and the C</w:t>
      </w:r>
      <w:r w:rsidR="1499F26D" w:rsidRPr="00DF4831">
        <w:rPr>
          <w:lang w:val="en-US"/>
        </w:rPr>
        <w:t>o</w:t>
      </w:r>
      <w:r w:rsidR="7EF48BED" w:rsidRPr="00DF4831">
        <w:rPr>
          <w:lang w:val="en-US"/>
        </w:rPr>
        <w:t xml:space="preserve">mpany </w:t>
      </w:r>
      <w:r w:rsidR="1B5522C0" w:rsidRPr="00DF4831">
        <w:rPr>
          <w:lang w:val="en-US"/>
        </w:rPr>
        <w:t xml:space="preserve">in relation to this Agreement or the transaction completed by this Agreement </w:t>
      </w:r>
      <w:r w:rsidR="261964FE" w:rsidRPr="00DF4831">
        <w:rPr>
          <w:lang w:val="en-US"/>
        </w:rPr>
        <w:t xml:space="preserve">shall in all circumstances be limited to the </w:t>
      </w:r>
      <w:r w:rsidR="14C14365" w:rsidRPr="00DF4831">
        <w:rPr>
          <w:lang w:val="en-US"/>
        </w:rPr>
        <w:t xml:space="preserve">compensation </w:t>
      </w:r>
      <w:r w:rsidR="018CE254" w:rsidRPr="00DF4831">
        <w:rPr>
          <w:lang w:val="en-US"/>
        </w:rPr>
        <w:t xml:space="preserve">payable </w:t>
      </w:r>
      <w:r w:rsidR="5661F9B6" w:rsidRPr="00DF4831">
        <w:rPr>
          <w:lang w:val="en-US"/>
        </w:rPr>
        <w:t xml:space="preserve">to such Manager </w:t>
      </w:r>
      <w:r w:rsidR="018CE254" w:rsidRPr="00DF4831">
        <w:rPr>
          <w:lang w:val="en-US"/>
        </w:rPr>
        <w:t>by the Company in</w:t>
      </w:r>
      <w:r w:rsidR="53E6B00F" w:rsidRPr="00DF4831">
        <w:rPr>
          <w:lang w:val="en-US"/>
        </w:rPr>
        <w:t xml:space="preserve"> connection with</w:t>
      </w:r>
      <w:r w:rsidR="018CE254" w:rsidRPr="00DF4831">
        <w:rPr>
          <w:lang w:val="en-US"/>
        </w:rPr>
        <w:t xml:space="preserve"> the Offering </w:t>
      </w:r>
      <w:r w:rsidR="261964FE" w:rsidRPr="00DF4831">
        <w:rPr>
          <w:lang w:val="en-US"/>
        </w:rPr>
        <w:t xml:space="preserve">as </w:t>
      </w:r>
      <w:r w:rsidR="2DF686CF" w:rsidRPr="00DF4831">
        <w:rPr>
          <w:lang w:val="en-US"/>
        </w:rPr>
        <w:t xml:space="preserve">set out </w:t>
      </w:r>
      <w:r w:rsidR="261964FE" w:rsidRPr="00DF4831">
        <w:rPr>
          <w:lang w:val="en-US"/>
        </w:rPr>
        <w:t xml:space="preserve">in the </w:t>
      </w:r>
      <w:r w:rsidR="5F43ADF1" w:rsidRPr="00DF4831">
        <w:rPr>
          <w:lang w:val="en-US"/>
        </w:rPr>
        <w:t>Engagement Letter.</w:t>
      </w:r>
      <w:r w:rsidR="5F43ADF1" w:rsidRPr="00DF4831">
        <w:rPr>
          <w:rFonts w:ascii="Calibri" w:eastAsia="Calibri" w:hAnsi="Calibri" w:cs="Calibri"/>
          <w:sz w:val="21"/>
          <w:szCs w:val="21"/>
          <w:lang w:val="en-US"/>
        </w:rPr>
        <w:t xml:space="preserve"> </w:t>
      </w:r>
      <w:r w:rsidR="00486BD6">
        <w:rPr>
          <w:lang w:val="en-US"/>
        </w:rPr>
        <w:t>[</w:t>
      </w:r>
      <w:r w:rsidR="00B07D5D" w:rsidRPr="00B07D5D">
        <w:rPr>
          <w:lang w:val="en-US"/>
        </w:rPr>
        <w:t xml:space="preserve">The obligations and any liabilities of the Managers </w:t>
      </w:r>
      <w:r w:rsidR="00AA6528">
        <w:rPr>
          <w:lang w:val="en-US"/>
        </w:rPr>
        <w:t xml:space="preserve">under this Agreement or otherwise </w:t>
      </w:r>
      <w:r w:rsidR="00B07D5D" w:rsidRPr="00B07D5D">
        <w:rPr>
          <w:lang w:val="en-US"/>
        </w:rPr>
        <w:t>shall be several, and not joint and several.</w:t>
      </w:r>
      <w:r w:rsidR="00486BD6">
        <w:rPr>
          <w:lang w:val="en-US"/>
        </w:rPr>
        <w:t>]</w:t>
      </w:r>
      <w:r w:rsidR="00486BD6">
        <w:rPr>
          <w:rStyle w:val="Fotnotereferanse"/>
          <w:lang w:val="en-US"/>
        </w:rPr>
        <w:footnoteReference w:id="4"/>
      </w:r>
      <w:r w:rsidR="00B07D5D" w:rsidRPr="00B07D5D">
        <w:rPr>
          <w:lang w:val="en-US"/>
        </w:rPr>
        <w:t xml:space="preserve"> </w:t>
      </w:r>
    </w:p>
    <w:p w14:paraId="1B773255" w14:textId="77777777" w:rsidR="007372EE" w:rsidRDefault="007372EE" w:rsidP="007372EE">
      <w:pPr>
        <w:pStyle w:val="Ingenmellomrom"/>
        <w:ind w:left="567"/>
        <w:rPr>
          <w:lang w:val="en-US"/>
        </w:rPr>
      </w:pPr>
    </w:p>
    <w:p w14:paraId="231D987F" w14:textId="2412BF18" w:rsidR="00CB1EA2" w:rsidRPr="00992294" w:rsidRDefault="00E84BAF" w:rsidP="00CB1EA2">
      <w:pPr>
        <w:pStyle w:val="Overskrift2"/>
        <w:rPr>
          <w:rFonts w:cstheme="minorHAnsi"/>
          <w:bCs/>
          <w:lang w:val="en-US"/>
        </w:rPr>
      </w:pPr>
      <w:r w:rsidRPr="00992294">
        <w:rPr>
          <w:rFonts w:cstheme="minorHAnsi"/>
          <w:bCs/>
          <w:lang w:val="en-US"/>
        </w:rPr>
        <w:t>Share Lender’s Own Taxes and Duties</w:t>
      </w:r>
    </w:p>
    <w:p w14:paraId="2C344F3C" w14:textId="77093572" w:rsidR="00B07D5D" w:rsidRDefault="00CB1EA2" w:rsidP="00992294">
      <w:pPr>
        <w:pStyle w:val="Ingenmellomrom"/>
        <w:ind w:left="567"/>
        <w:rPr>
          <w:rFonts w:cstheme="minorHAnsi"/>
          <w:lang w:val="en-US"/>
        </w:rPr>
      </w:pPr>
      <w:r w:rsidRPr="00992294">
        <w:rPr>
          <w:rFonts w:cstheme="minorHAnsi"/>
          <w:lang w:val="en-US"/>
        </w:rPr>
        <w:t>The Share Lender is solely responsible for all its own taxes and duties that may arise under Norwegian or foreign law in connection with this Agreement and the transactions contemplated hereunder, including, for the avoidance of doubt, any taxes or duties related to the borrowing or lending of shares, their return, any distributions, payments, rights, entitlements, or other benefits relating to the shares during the term of the loan.</w:t>
      </w:r>
    </w:p>
    <w:p w14:paraId="6760DDB5" w14:textId="4EBDA46C" w:rsidR="00B07D5D" w:rsidRPr="00B07D5D" w:rsidRDefault="00B07D5D" w:rsidP="00B07D5D">
      <w:pPr>
        <w:pStyle w:val="Ingenmellomrom"/>
        <w:rPr>
          <w:lang w:val="en-US"/>
        </w:rPr>
      </w:pPr>
    </w:p>
    <w:p w14:paraId="1A1F39F3" w14:textId="581749BF" w:rsidR="00992294" w:rsidRDefault="00992294" w:rsidP="00B07D5D">
      <w:pPr>
        <w:pStyle w:val="Overskrift2"/>
        <w:rPr>
          <w:lang w:val="en-US"/>
        </w:rPr>
      </w:pPr>
      <w:r>
        <w:rPr>
          <w:lang w:val="en-US"/>
        </w:rPr>
        <w:t>r</w:t>
      </w:r>
      <w:r w:rsidR="00480491">
        <w:rPr>
          <w:lang w:val="en-US"/>
        </w:rPr>
        <w:t>EGULATORY REQUIREMENTS OF THE SHARE LENDER</w:t>
      </w:r>
    </w:p>
    <w:p w14:paraId="190D2615" w14:textId="327F5D4C" w:rsidR="00480491" w:rsidRDefault="00480491" w:rsidP="00714201">
      <w:pPr>
        <w:spacing w:after="0"/>
        <w:ind w:left="567"/>
        <w:rPr>
          <w:lang w:val="en-GB"/>
        </w:rPr>
      </w:pPr>
      <w:r w:rsidRPr="00DF4BF5">
        <w:rPr>
          <w:lang w:val="en-GB"/>
        </w:rPr>
        <w:t xml:space="preserve">The Share Lender is solely responsible for its compliance with all legal and regulatory requirements relating to this Agreement and the transactions contemplated hereunder, including, without limitation, any disclosure and reporting obligations pursuant to the Norwegian Securities Trading Act </w:t>
      </w:r>
      <w:r w:rsidR="00104D46">
        <w:rPr>
          <w:lang w:val="en-GB"/>
        </w:rPr>
        <w:t>Chapter</w:t>
      </w:r>
      <w:r w:rsidRPr="00DF4BF5">
        <w:rPr>
          <w:lang w:val="en-GB"/>
        </w:rPr>
        <w:t xml:space="preserve"> 4 and the Securities Financing Transactions Regulation.</w:t>
      </w:r>
    </w:p>
    <w:p w14:paraId="609DACBA" w14:textId="77777777" w:rsidR="00714201" w:rsidRPr="00480491" w:rsidRDefault="00714201" w:rsidP="00714201">
      <w:pPr>
        <w:spacing w:after="0"/>
        <w:ind w:left="567"/>
        <w:rPr>
          <w:lang w:val="en-US"/>
        </w:rPr>
      </w:pPr>
    </w:p>
    <w:p w14:paraId="74A6B6AD" w14:textId="1F79AE44" w:rsidR="00B07D5D" w:rsidRDefault="00A411E0" w:rsidP="00104D46">
      <w:pPr>
        <w:pStyle w:val="Overskrift2"/>
        <w:rPr>
          <w:lang w:val="en-US"/>
        </w:rPr>
      </w:pPr>
      <w:r>
        <w:rPr>
          <w:lang w:val="en-US"/>
        </w:rPr>
        <w:t xml:space="preserve">Miscellaneous </w:t>
      </w:r>
    </w:p>
    <w:p w14:paraId="501689F2" w14:textId="15367937" w:rsidR="00A411E0" w:rsidRPr="00FF0714" w:rsidRDefault="004F5EA7" w:rsidP="00A84472">
      <w:pPr>
        <w:pStyle w:val="Ingenmellomrom"/>
        <w:ind w:left="567" w:hanging="567"/>
        <w:rPr>
          <w:lang w:val="en-GB"/>
        </w:rPr>
      </w:pPr>
      <w:r>
        <w:rPr>
          <w:lang w:val="en-US"/>
        </w:rPr>
        <w:t>10.1</w:t>
      </w:r>
      <w:r>
        <w:rPr>
          <w:lang w:val="en-US"/>
        </w:rPr>
        <w:tab/>
      </w:r>
      <w:r w:rsidR="00A411E0" w:rsidRPr="00A84472">
        <w:rPr>
          <w:u w:val="single"/>
          <w:lang w:val="en-US"/>
        </w:rPr>
        <w:t>No third</w:t>
      </w:r>
      <w:r w:rsidR="005C69C9">
        <w:rPr>
          <w:u w:val="single"/>
          <w:lang w:val="en-US"/>
        </w:rPr>
        <w:t>-</w:t>
      </w:r>
      <w:r w:rsidR="00A411E0" w:rsidRPr="00A84472">
        <w:rPr>
          <w:u w:val="single"/>
          <w:lang w:val="en-US"/>
        </w:rPr>
        <w:t>party rights</w:t>
      </w:r>
      <w:r w:rsidR="00A411E0" w:rsidRPr="00104D46">
        <w:rPr>
          <w:lang w:val="en-US"/>
        </w:rPr>
        <w:t>:</w:t>
      </w:r>
      <w:r w:rsidR="00A411E0">
        <w:rPr>
          <w:lang w:val="en-US"/>
        </w:rPr>
        <w:t xml:space="preserve"> </w:t>
      </w:r>
      <w:r w:rsidR="00FF0714" w:rsidRPr="00FF0714">
        <w:rPr>
          <w:lang w:val="en-GB"/>
        </w:rPr>
        <w:t xml:space="preserve"> Without affecting any third-party rights under the indemnities in clause 7, nothing in this Agreement, whether express or implied, is intended to create any rights enforceable by any individual or legal entity other than the Parties.</w:t>
      </w:r>
    </w:p>
    <w:p w14:paraId="6B6BD247" w14:textId="77777777" w:rsidR="00A411E0" w:rsidRDefault="00A411E0" w:rsidP="00A84472">
      <w:pPr>
        <w:pStyle w:val="Ingenmellomrom"/>
        <w:ind w:left="567"/>
        <w:rPr>
          <w:lang w:val="en-US"/>
        </w:rPr>
      </w:pPr>
    </w:p>
    <w:p w14:paraId="0A187583" w14:textId="6C222E68" w:rsidR="00B07D5D" w:rsidRPr="00B07D5D" w:rsidRDefault="00321A42" w:rsidP="00A84472">
      <w:pPr>
        <w:pStyle w:val="Ingenmellomrom"/>
        <w:ind w:left="567" w:hanging="567"/>
        <w:rPr>
          <w:lang w:val="en-US"/>
        </w:rPr>
      </w:pPr>
      <w:r w:rsidRPr="002E026F">
        <w:rPr>
          <w:lang w:val="en-US"/>
        </w:rPr>
        <w:t>10.2</w:t>
      </w:r>
      <w:r w:rsidRPr="002E026F">
        <w:rPr>
          <w:lang w:val="en-US"/>
        </w:rPr>
        <w:tab/>
      </w:r>
      <w:r w:rsidR="00A411E0" w:rsidRPr="00A411E0">
        <w:rPr>
          <w:u w:val="single"/>
          <w:lang w:val="en-US"/>
        </w:rPr>
        <w:t>Governing law</w:t>
      </w:r>
      <w:r w:rsidR="00A411E0">
        <w:rPr>
          <w:lang w:val="en-US"/>
        </w:rPr>
        <w:t xml:space="preserve">: </w:t>
      </w:r>
      <w:r w:rsidR="00B07D5D" w:rsidRPr="00B07D5D">
        <w:rPr>
          <w:lang w:val="en-US"/>
        </w:rPr>
        <w:t xml:space="preserve">This Agreement is governed by, and shall be construed in accordance with, Norwegian law. </w:t>
      </w:r>
    </w:p>
    <w:p w14:paraId="26DB69FD" w14:textId="77777777" w:rsidR="00B07D5D" w:rsidRPr="00B07D5D" w:rsidRDefault="00B07D5D" w:rsidP="00B07D5D">
      <w:pPr>
        <w:pStyle w:val="Ingenmellomrom"/>
        <w:ind w:left="567"/>
        <w:rPr>
          <w:lang w:val="en-US"/>
        </w:rPr>
      </w:pPr>
    </w:p>
    <w:p w14:paraId="315CEF49" w14:textId="0CCD1AFB" w:rsidR="00B07D5D" w:rsidRDefault="00321A42" w:rsidP="00F56F05">
      <w:pPr>
        <w:pStyle w:val="Ingenmellomrom"/>
        <w:ind w:left="567" w:hanging="567"/>
        <w:rPr>
          <w:lang w:val="en-US"/>
        </w:rPr>
      </w:pPr>
      <w:r w:rsidRPr="00104D46">
        <w:rPr>
          <w:lang w:val="en-US"/>
        </w:rPr>
        <w:t>10.3</w:t>
      </w:r>
      <w:r w:rsidRPr="00104D46">
        <w:rPr>
          <w:lang w:val="en-US"/>
        </w:rPr>
        <w:tab/>
      </w:r>
      <w:r w:rsidR="00A411E0" w:rsidRPr="00A411E0">
        <w:rPr>
          <w:u w:val="single"/>
          <w:lang w:val="en-US"/>
        </w:rPr>
        <w:t>Jurisdiction</w:t>
      </w:r>
      <w:r w:rsidR="00A411E0">
        <w:rPr>
          <w:lang w:val="en-US"/>
        </w:rPr>
        <w:t xml:space="preserve">: </w:t>
      </w:r>
      <w:r w:rsidR="00B07D5D" w:rsidRPr="00B07D5D">
        <w:rPr>
          <w:lang w:val="en-US"/>
        </w:rPr>
        <w:t xml:space="preserve">The Parties shall seek to solve amicably through negotiations any dispute, controversy or claim arising out of or relating to this Agreement, or the breach, termination or invalidity thereof. If the Parties fail to solve such dispute, controversy or claim by an amicable written agreement within ten days after such negotiations have been initiated by a Party, such dispute, controversy or claim shall be finally settled by the Norwegian courts, with Oslo District Court (Nw. </w:t>
      </w:r>
      <w:r w:rsidR="00B07D5D">
        <w:rPr>
          <w:lang w:val="en-US"/>
        </w:rPr>
        <w:t>“</w:t>
      </w:r>
      <w:r w:rsidR="00B07D5D" w:rsidRPr="00B07D5D">
        <w:rPr>
          <w:lang w:val="en-US"/>
        </w:rPr>
        <w:t>Oslo tingrett</w:t>
      </w:r>
      <w:r w:rsidR="00B07D5D">
        <w:rPr>
          <w:lang w:val="en-US"/>
        </w:rPr>
        <w:t>”</w:t>
      </w:r>
      <w:r w:rsidR="00B07D5D" w:rsidRPr="00B07D5D">
        <w:rPr>
          <w:lang w:val="en-US"/>
        </w:rPr>
        <w:t>) as legal venue</w:t>
      </w:r>
      <w:r w:rsidR="00A77EE1">
        <w:rPr>
          <w:lang w:val="en-US"/>
        </w:rPr>
        <w:t>.</w:t>
      </w:r>
      <w:r w:rsidR="009A56D5">
        <w:rPr>
          <w:rStyle w:val="Fotnotereferanse"/>
          <w:lang w:val="en-US"/>
        </w:rPr>
        <w:footnoteReference w:id="5"/>
      </w:r>
    </w:p>
    <w:p w14:paraId="2E70F50F" w14:textId="77777777" w:rsidR="00B07D5D" w:rsidRDefault="00B07D5D" w:rsidP="00B07D5D">
      <w:pPr>
        <w:pStyle w:val="Ingenmellomrom"/>
        <w:rPr>
          <w:lang w:val="en-US"/>
        </w:rPr>
      </w:pPr>
    </w:p>
    <w:p w14:paraId="18487303" w14:textId="0C204F0D" w:rsidR="00B07D5D" w:rsidRPr="00B07D5D" w:rsidRDefault="00B07D5D" w:rsidP="00B07D5D">
      <w:pPr>
        <w:pStyle w:val="Ingenmellomrom"/>
        <w:jc w:val="center"/>
        <w:rPr>
          <w:lang w:val="en-US"/>
        </w:rPr>
      </w:pPr>
      <w:r>
        <w:rPr>
          <w:lang w:val="en-US"/>
        </w:rPr>
        <w:t>***</w:t>
      </w:r>
    </w:p>
    <w:p w14:paraId="41EC7C92" w14:textId="4E855D3E" w:rsidR="00B07D5D" w:rsidRDefault="00B07D5D" w:rsidP="00B07D5D">
      <w:pPr>
        <w:pStyle w:val="Ingenmellomrom"/>
        <w:rPr>
          <w:lang w:val="en-US"/>
        </w:rPr>
      </w:pPr>
    </w:p>
    <w:p w14:paraId="2007C2DD" w14:textId="68B5A7EE" w:rsidR="00B07D5D" w:rsidRDefault="00B07D5D" w:rsidP="007B5636">
      <w:pPr>
        <w:pStyle w:val="Ingenmellomrom"/>
        <w:jc w:val="center"/>
        <w:rPr>
          <w:lang w:val="en-US"/>
        </w:rPr>
      </w:pPr>
      <w:r>
        <w:rPr>
          <w:lang w:val="en-US"/>
        </w:rPr>
        <w:t>[The rest of the page is intentionally left blank; signature page to follow.]</w:t>
      </w:r>
    </w:p>
    <w:p w14:paraId="65FE0B52" w14:textId="34CB48C7" w:rsidR="00B07D5D" w:rsidRDefault="00B07D5D" w:rsidP="00B07D5D">
      <w:pPr>
        <w:pStyle w:val="Ingenmellomrom"/>
        <w:pageBreakBefore/>
        <w:jc w:val="center"/>
        <w:rPr>
          <w:lang w:val="en-US"/>
        </w:rPr>
      </w:pPr>
      <w:r>
        <w:rPr>
          <w:lang w:val="en-US"/>
        </w:rPr>
        <w:lastRenderedPageBreak/>
        <w:t>[Signature page of the share lending agreement for [</w:t>
      </w:r>
      <w:r w:rsidRPr="00B07D5D">
        <w:rPr>
          <w:highlight w:val="yellow"/>
          <w:lang w:val="en-US"/>
        </w:rPr>
        <w:t>issuer</w:t>
      </w:r>
      <w:r>
        <w:rPr>
          <w:lang w:val="en-US"/>
        </w:rPr>
        <w:t>].]</w:t>
      </w:r>
    </w:p>
    <w:p w14:paraId="75B3C811" w14:textId="0D0F22D9" w:rsidR="00B07D5D" w:rsidRDefault="00B07D5D" w:rsidP="00B07D5D">
      <w:pPr>
        <w:pStyle w:val="Ingenmellomrom"/>
        <w:rPr>
          <w:lang w:val="en-US"/>
        </w:rPr>
      </w:pPr>
    </w:p>
    <w:tbl>
      <w:tblPr>
        <w:tblStyle w:val="Tabellrutenett"/>
        <w:tblW w:w="5000" w:type="pct"/>
        <w:tblBorders>
          <w:top w:val="none" w:sz="0" w:space="0" w:color="auto"/>
          <w:left w:val="none" w:sz="0" w:space="0" w:color="auto"/>
          <w:bottom w:val="none" w:sz="0" w:space="0" w:color="auto"/>
          <w:right w:val="none" w:sz="0" w:space="0" w:color="auto"/>
          <w:insideH w:val="dotted" w:sz="4" w:space="0" w:color="auto"/>
          <w:insideV w:val="none" w:sz="0" w:space="0" w:color="auto"/>
        </w:tblBorders>
        <w:tblLook w:val="04A0" w:firstRow="1" w:lastRow="0" w:firstColumn="1" w:lastColumn="0" w:noHBand="0" w:noVBand="1"/>
      </w:tblPr>
      <w:tblGrid>
        <w:gridCol w:w="4146"/>
        <w:gridCol w:w="778"/>
        <w:gridCol w:w="4148"/>
      </w:tblGrid>
      <w:tr w:rsidR="00B07D5D" w:rsidRPr="009E182C" w14:paraId="5E4E6A96" w14:textId="77777777">
        <w:tc>
          <w:tcPr>
            <w:tcW w:w="2285" w:type="pct"/>
          </w:tcPr>
          <w:p w14:paraId="44F972F4" w14:textId="5F16F30F" w:rsidR="00B07D5D" w:rsidRPr="009E182C" w:rsidRDefault="00B07D5D">
            <w:pPr>
              <w:pStyle w:val="Ingenmellomrom"/>
              <w:jc w:val="both"/>
              <w:rPr>
                <w:b/>
                <w:lang w:val="en-US"/>
              </w:rPr>
            </w:pPr>
            <w:r>
              <w:rPr>
                <w:b/>
                <w:lang w:val="en-US"/>
              </w:rPr>
              <w:t>[</w:t>
            </w:r>
            <w:r>
              <w:rPr>
                <w:b/>
                <w:highlight w:val="yellow"/>
                <w:lang w:val="en-US"/>
              </w:rPr>
              <w:t>Company</w:t>
            </w:r>
            <w:r>
              <w:rPr>
                <w:b/>
                <w:lang w:val="en-US"/>
              </w:rPr>
              <w:t>]</w:t>
            </w:r>
          </w:p>
          <w:p w14:paraId="30BBD24F" w14:textId="77777777" w:rsidR="00B07D5D" w:rsidRPr="009E182C" w:rsidRDefault="00B07D5D">
            <w:pPr>
              <w:pStyle w:val="Ingenmellomrom"/>
              <w:jc w:val="both"/>
              <w:rPr>
                <w:b/>
                <w:lang w:val="en-US"/>
              </w:rPr>
            </w:pPr>
          </w:p>
          <w:p w14:paraId="307FE81B" w14:textId="77777777" w:rsidR="00B07D5D" w:rsidRPr="009E182C" w:rsidRDefault="00B07D5D">
            <w:pPr>
              <w:pStyle w:val="Ingenmellomrom"/>
              <w:jc w:val="both"/>
              <w:rPr>
                <w:b/>
                <w:lang w:val="en-US"/>
              </w:rPr>
            </w:pPr>
          </w:p>
          <w:p w14:paraId="35F8319F" w14:textId="77777777" w:rsidR="00B07D5D" w:rsidRPr="009E182C" w:rsidRDefault="00B07D5D">
            <w:pPr>
              <w:pStyle w:val="Ingenmellomrom"/>
              <w:jc w:val="both"/>
              <w:rPr>
                <w:b/>
                <w:lang w:val="en-US"/>
              </w:rPr>
            </w:pPr>
          </w:p>
        </w:tc>
        <w:tc>
          <w:tcPr>
            <w:tcW w:w="429" w:type="pct"/>
            <w:tcBorders>
              <w:top w:val="nil"/>
              <w:bottom w:val="nil"/>
            </w:tcBorders>
          </w:tcPr>
          <w:p w14:paraId="0D946420" w14:textId="77777777" w:rsidR="00B07D5D" w:rsidRPr="009E182C" w:rsidRDefault="00B07D5D">
            <w:pPr>
              <w:pStyle w:val="Ingenmellomrom"/>
              <w:jc w:val="both"/>
              <w:rPr>
                <w:lang w:val="en-US"/>
              </w:rPr>
            </w:pPr>
          </w:p>
        </w:tc>
        <w:tc>
          <w:tcPr>
            <w:tcW w:w="2286" w:type="pct"/>
          </w:tcPr>
          <w:p w14:paraId="10D1DE6B" w14:textId="77777777" w:rsidR="00B07D5D" w:rsidRPr="009E182C" w:rsidRDefault="00B07D5D">
            <w:pPr>
              <w:pStyle w:val="Ingenmellomrom"/>
              <w:jc w:val="both"/>
              <w:rPr>
                <w:b/>
                <w:lang w:val="en-US"/>
              </w:rPr>
            </w:pPr>
          </w:p>
        </w:tc>
      </w:tr>
      <w:tr w:rsidR="00B07D5D" w:rsidRPr="009E182C" w14:paraId="6D8FF245" w14:textId="77777777">
        <w:tc>
          <w:tcPr>
            <w:tcW w:w="2285" w:type="pct"/>
          </w:tcPr>
          <w:p w14:paraId="015BF3C8" w14:textId="3581D2B1" w:rsidR="00B07D5D" w:rsidRPr="009E182C" w:rsidRDefault="00B07D5D">
            <w:pPr>
              <w:pStyle w:val="Ingenmellomrom"/>
              <w:jc w:val="both"/>
              <w:rPr>
                <w:lang w:val="en-US"/>
              </w:rPr>
            </w:pPr>
            <w:r w:rsidRPr="009E182C">
              <w:rPr>
                <w:lang w:val="en-US"/>
              </w:rPr>
              <w:t xml:space="preserve">Name: </w:t>
            </w:r>
          </w:p>
          <w:p w14:paraId="3FA3F9BA" w14:textId="507CADA9" w:rsidR="00B07D5D" w:rsidRPr="009E182C" w:rsidRDefault="00B07D5D">
            <w:pPr>
              <w:pStyle w:val="Ingenmellomrom"/>
              <w:jc w:val="both"/>
              <w:rPr>
                <w:lang w:val="en-US"/>
              </w:rPr>
            </w:pPr>
            <w:r w:rsidRPr="009E182C">
              <w:rPr>
                <w:lang w:val="en-US"/>
              </w:rPr>
              <w:t xml:space="preserve">Title: </w:t>
            </w:r>
          </w:p>
          <w:p w14:paraId="10B025A6" w14:textId="77777777" w:rsidR="00B07D5D" w:rsidRPr="009E182C" w:rsidRDefault="00B07D5D">
            <w:pPr>
              <w:pStyle w:val="Ingenmellomrom"/>
              <w:jc w:val="both"/>
              <w:rPr>
                <w:lang w:val="en-US"/>
              </w:rPr>
            </w:pPr>
          </w:p>
        </w:tc>
        <w:tc>
          <w:tcPr>
            <w:tcW w:w="429" w:type="pct"/>
            <w:tcBorders>
              <w:top w:val="nil"/>
              <w:bottom w:val="nil"/>
            </w:tcBorders>
          </w:tcPr>
          <w:p w14:paraId="50A0FE69" w14:textId="77777777" w:rsidR="00B07D5D" w:rsidRPr="009E182C" w:rsidRDefault="00B07D5D">
            <w:pPr>
              <w:pStyle w:val="Ingenmellomrom"/>
              <w:jc w:val="both"/>
              <w:rPr>
                <w:lang w:val="en-US"/>
              </w:rPr>
            </w:pPr>
          </w:p>
        </w:tc>
        <w:tc>
          <w:tcPr>
            <w:tcW w:w="2286" w:type="pct"/>
          </w:tcPr>
          <w:p w14:paraId="4B4CE952" w14:textId="77777777" w:rsidR="00B07D5D" w:rsidRPr="009E182C" w:rsidRDefault="00B07D5D">
            <w:pPr>
              <w:pStyle w:val="Ingenmellomrom"/>
              <w:jc w:val="both"/>
              <w:rPr>
                <w:lang w:val="en-US"/>
              </w:rPr>
            </w:pPr>
            <w:r w:rsidRPr="009E182C">
              <w:rPr>
                <w:lang w:val="en-US"/>
              </w:rPr>
              <w:t xml:space="preserve">Name: </w:t>
            </w:r>
          </w:p>
          <w:p w14:paraId="609FCD32" w14:textId="77777777" w:rsidR="00B07D5D" w:rsidRPr="009E182C" w:rsidRDefault="00B07D5D">
            <w:pPr>
              <w:pStyle w:val="Ingenmellomrom"/>
              <w:jc w:val="both"/>
              <w:rPr>
                <w:lang w:val="en-US"/>
              </w:rPr>
            </w:pPr>
            <w:r w:rsidRPr="009E182C">
              <w:rPr>
                <w:lang w:val="en-US"/>
              </w:rPr>
              <w:t xml:space="preserve">Title: </w:t>
            </w:r>
          </w:p>
        </w:tc>
      </w:tr>
    </w:tbl>
    <w:p w14:paraId="18B89D40" w14:textId="77777777" w:rsidR="00B07D5D" w:rsidRDefault="00B07D5D" w:rsidP="00B07D5D">
      <w:pPr>
        <w:pStyle w:val="Ingenmellomrom"/>
        <w:rPr>
          <w:lang w:val="en-US"/>
        </w:rPr>
      </w:pPr>
    </w:p>
    <w:tbl>
      <w:tblPr>
        <w:tblStyle w:val="Tabellrutenett"/>
        <w:tblW w:w="5000" w:type="pct"/>
        <w:tblBorders>
          <w:top w:val="none" w:sz="0" w:space="0" w:color="auto"/>
          <w:left w:val="none" w:sz="0" w:space="0" w:color="auto"/>
          <w:bottom w:val="none" w:sz="0" w:space="0" w:color="auto"/>
          <w:right w:val="none" w:sz="0" w:space="0" w:color="auto"/>
          <w:insideH w:val="dotted" w:sz="4" w:space="0" w:color="auto"/>
          <w:insideV w:val="none" w:sz="0" w:space="0" w:color="auto"/>
        </w:tblBorders>
        <w:tblLook w:val="04A0" w:firstRow="1" w:lastRow="0" w:firstColumn="1" w:lastColumn="0" w:noHBand="0" w:noVBand="1"/>
      </w:tblPr>
      <w:tblGrid>
        <w:gridCol w:w="4146"/>
        <w:gridCol w:w="778"/>
        <w:gridCol w:w="4148"/>
      </w:tblGrid>
      <w:tr w:rsidR="00B07D5D" w:rsidRPr="009E182C" w14:paraId="0303796F" w14:textId="77777777">
        <w:tc>
          <w:tcPr>
            <w:tcW w:w="2285" w:type="pct"/>
          </w:tcPr>
          <w:p w14:paraId="3AEC2A96" w14:textId="6CB7DACE" w:rsidR="00B07D5D" w:rsidRPr="009E182C" w:rsidRDefault="00B07D5D">
            <w:pPr>
              <w:pStyle w:val="Ingenmellomrom"/>
              <w:jc w:val="both"/>
              <w:rPr>
                <w:b/>
                <w:lang w:val="en-US"/>
              </w:rPr>
            </w:pPr>
            <w:r>
              <w:rPr>
                <w:b/>
                <w:lang w:val="en-US"/>
              </w:rPr>
              <w:t>[</w:t>
            </w:r>
            <w:r w:rsidRPr="00B07D5D">
              <w:rPr>
                <w:b/>
                <w:highlight w:val="yellow"/>
                <w:lang w:val="en-US"/>
              </w:rPr>
              <w:t xml:space="preserve">Share </w:t>
            </w:r>
            <w:r>
              <w:rPr>
                <w:b/>
                <w:highlight w:val="yellow"/>
                <w:lang w:val="en-US"/>
              </w:rPr>
              <w:t>L</w:t>
            </w:r>
            <w:r w:rsidRPr="00B07D5D">
              <w:rPr>
                <w:b/>
                <w:highlight w:val="yellow"/>
                <w:lang w:val="en-US"/>
              </w:rPr>
              <w:t>ender 1</w:t>
            </w:r>
            <w:r>
              <w:rPr>
                <w:b/>
                <w:lang w:val="en-US"/>
              </w:rPr>
              <w:t>]</w:t>
            </w:r>
          </w:p>
          <w:p w14:paraId="112A8ED7" w14:textId="77777777" w:rsidR="00B07D5D" w:rsidRPr="009E182C" w:rsidRDefault="00B07D5D">
            <w:pPr>
              <w:pStyle w:val="Ingenmellomrom"/>
              <w:jc w:val="both"/>
              <w:rPr>
                <w:b/>
                <w:lang w:val="en-US"/>
              </w:rPr>
            </w:pPr>
          </w:p>
          <w:p w14:paraId="28B6997C" w14:textId="77777777" w:rsidR="00B07D5D" w:rsidRPr="009E182C" w:rsidRDefault="00B07D5D">
            <w:pPr>
              <w:pStyle w:val="Ingenmellomrom"/>
              <w:jc w:val="both"/>
              <w:rPr>
                <w:b/>
                <w:lang w:val="en-US"/>
              </w:rPr>
            </w:pPr>
          </w:p>
          <w:p w14:paraId="002AF98D" w14:textId="77777777" w:rsidR="00B07D5D" w:rsidRPr="009E182C" w:rsidRDefault="00B07D5D">
            <w:pPr>
              <w:pStyle w:val="Ingenmellomrom"/>
              <w:jc w:val="both"/>
              <w:rPr>
                <w:b/>
                <w:lang w:val="en-US"/>
              </w:rPr>
            </w:pPr>
          </w:p>
        </w:tc>
        <w:tc>
          <w:tcPr>
            <w:tcW w:w="429" w:type="pct"/>
            <w:tcBorders>
              <w:top w:val="nil"/>
              <w:bottom w:val="nil"/>
            </w:tcBorders>
          </w:tcPr>
          <w:p w14:paraId="0BB43EFD" w14:textId="77777777" w:rsidR="00B07D5D" w:rsidRPr="009E182C" w:rsidRDefault="00B07D5D">
            <w:pPr>
              <w:pStyle w:val="Ingenmellomrom"/>
              <w:jc w:val="both"/>
              <w:rPr>
                <w:lang w:val="en-US"/>
              </w:rPr>
            </w:pPr>
          </w:p>
        </w:tc>
        <w:tc>
          <w:tcPr>
            <w:tcW w:w="2286" w:type="pct"/>
          </w:tcPr>
          <w:p w14:paraId="1CE11C32" w14:textId="77777777" w:rsidR="00B07D5D" w:rsidRPr="009E182C" w:rsidRDefault="00B07D5D">
            <w:pPr>
              <w:pStyle w:val="Ingenmellomrom"/>
              <w:jc w:val="both"/>
              <w:rPr>
                <w:b/>
                <w:lang w:val="en-US"/>
              </w:rPr>
            </w:pPr>
          </w:p>
        </w:tc>
      </w:tr>
      <w:tr w:rsidR="00B07D5D" w:rsidRPr="009E182C" w14:paraId="04D78BC5" w14:textId="77777777">
        <w:tc>
          <w:tcPr>
            <w:tcW w:w="2285" w:type="pct"/>
          </w:tcPr>
          <w:p w14:paraId="3756424C" w14:textId="77777777" w:rsidR="00B07D5D" w:rsidRPr="009E182C" w:rsidRDefault="00B07D5D">
            <w:pPr>
              <w:pStyle w:val="Ingenmellomrom"/>
              <w:jc w:val="both"/>
              <w:rPr>
                <w:lang w:val="en-US"/>
              </w:rPr>
            </w:pPr>
            <w:r w:rsidRPr="009E182C">
              <w:rPr>
                <w:lang w:val="en-US"/>
              </w:rPr>
              <w:t xml:space="preserve">Name: </w:t>
            </w:r>
          </w:p>
          <w:p w14:paraId="033A2AD4" w14:textId="77777777" w:rsidR="00B07D5D" w:rsidRPr="009E182C" w:rsidRDefault="00B07D5D">
            <w:pPr>
              <w:pStyle w:val="Ingenmellomrom"/>
              <w:jc w:val="both"/>
              <w:rPr>
                <w:lang w:val="en-US"/>
              </w:rPr>
            </w:pPr>
            <w:r w:rsidRPr="009E182C">
              <w:rPr>
                <w:lang w:val="en-US"/>
              </w:rPr>
              <w:t xml:space="preserve">Title: </w:t>
            </w:r>
          </w:p>
          <w:p w14:paraId="6989C534" w14:textId="77777777" w:rsidR="00B07D5D" w:rsidRPr="009E182C" w:rsidRDefault="00B07D5D">
            <w:pPr>
              <w:pStyle w:val="Ingenmellomrom"/>
              <w:jc w:val="both"/>
              <w:rPr>
                <w:lang w:val="en-US"/>
              </w:rPr>
            </w:pPr>
          </w:p>
        </w:tc>
        <w:tc>
          <w:tcPr>
            <w:tcW w:w="429" w:type="pct"/>
            <w:tcBorders>
              <w:top w:val="nil"/>
              <w:bottom w:val="nil"/>
            </w:tcBorders>
          </w:tcPr>
          <w:p w14:paraId="655F52F4" w14:textId="77777777" w:rsidR="00B07D5D" w:rsidRPr="009E182C" w:rsidRDefault="00B07D5D">
            <w:pPr>
              <w:pStyle w:val="Ingenmellomrom"/>
              <w:jc w:val="both"/>
              <w:rPr>
                <w:lang w:val="en-US"/>
              </w:rPr>
            </w:pPr>
          </w:p>
        </w:tc>
        <w:tc>
          <w:tcPr>
            <w:tcW w:w="2286" w:type="pct"/>
          </w:tcPr>
          <w:p w14:paraId="14FE3D2D" w14:textId="77777777" w:rsidR="00B07D5D" w:rsidRPr="009E182C" w:rsidRDefault="00B07D5D">
            <w:pPr>
              <w:pStyle w:val="Ingenmellomrom"/>
              <w:jc w:val="both"/>
              <w:rPr>
                <w:lang w:val="en-US"/>
              </w:rPr>
            </w:pPr>
            <w:r w:rsidRPr="009E182C">
              <w:rPr>
                <w:lang w:val="en-US"/>
              </w:rPr>
              <w:t xml:space="preserve">Name: </w:t>
            </w:r>
          </w:p>
          <w:p w14:paraId="787D955A" w14:textId="77777777" w:rsidR="00B07D5D" w:rsidRPr="009E182C" w:rsidRDefault="00B07D5D">
            <w:pPr>
              <w:pStyle w:val="Ingenmellomrom"/>
              <w:jc w:val="both"/>
              <w:rPr>
                <w:lang w:val="en-US"/>
              </w:rPr>
            </w:pPr>
            <w:r w:rsidRPr="009E182C">
              <w:rPr>
                <w:lang w:val="en-US"/>
              </w:rPr>
              <w:t xml:space="preserve">Title: </w:t>
            </w:r>
          </w:p>
        </w:tc>
      </w:tr>
    </w:tbl>
    <w:p w14:paraId="2799BC9F" w14:textId="4FE5F421" w:rsidR="00B07D5D" w:rsidRDefault="00B07D5D" w:rsidP="00B07D5D">
      <w:pPr>
        <w:pStyle w:val="Ingenmellomrom"/>
        <w:rPr>
          <w:lang w:val="en-US"/>
        </w:rPr>
      </w:pPr>
    </w:p>
    <w:tbl>
      <w:tblPr>
        <w:tblStyle w:val="Tabellrutenett"/>
        <w:tblW w:w="5000" w:type="pct"/>
        <w:tblBorders>
          <w:top w:val="none" w:sz="0" w:space="0" w:color="auto"/>
          <w:left w:val="none" w:sz="0" w:space="0" w:color="auto"/>
          <w:bottom w:val="none" w:sz="0" w:space="0" w:color="auto"/>
          <w:right w:val="none" w:sz="0" w:space="0" w:color="auto"/>
          <w:insideH w:val="dotted" w:sz="4" w:space="0" w:color="auto"/>
          <w:insideV w:val="none" w:sz="0" w:space="0" w:color="auto"/>
        </w:tblBorders>
        <w:tblLook w:val="04A0" w:firstRow="1" w:lastRow="0" w:firstColumn="1" w:lastColumn="0" w:noHBand="0" w:noVBand="1"/>
      </w:tblPr>
      <w:tblGrid>
        <w:gridCol w:w="4146"/>
        <w:gridCol w:w="778"/>
        <w:gridCol w:w="4148"/>
      </w:tblGrid>
      <w:tr w:rsidR="00B07D5D" w:rsidRPr="009E182C" w14:paraId="2BAAE654" w14:textId="77777777">
        <w:tc>
          <w:tcPr>
            <w:tcW w:w="2285" w:type="pct"/>
          </w:tcPr>
          <w:p w14:paraId="18BEF1F9" w14:textId="4254E515" w:rsidR="00B07D5D" w:rsidRPr="009E182C" w:rsidRDefault="00B07D5D">
            <w:pPr>
              <w:pStyle w:val="Ingenmellomrom"/>
              <w:jc w:val="both"/>
              <w:rPr>
                <w:b/>
                <w:lang w:val="en-US"/>
              </w:rPr>
            </w:pPr>
            <w:r>
              <w:rPr>
                <w:b/>
                <w:lang w:val="en-US"/>
              </w:rPr>
              <w:t>[</w:t>
            </w:r>
            <w:r w:rsidRPr="00B07D5D">
              <w:rPr>
                <w:b/>
                <w:highlight w:val="yellow"/>
                <w:lang w:val="en-US"/>
              </w:rPr>
              <w:t xml:space="preserve">Share </w:t>
            </w:r>
            <w:r>
              <w:rPr>
                <w:b/>
                <w:highlight w:val="yellow"/>
                <w:lang w:val="en-US"/>
              </w:rPr>
              <w:t>L</w:t>
            </w:r>
            <w:r w:rsidRPr="00B07D5D">
              <w:rPr>
                <w:b/>
                <w:highlight w:val="yellow"/>
                <w:lang w:val="en-US"/>
              </w:rPr>
              <w:t xml:space="preserve">ender </w:t>
            </w:r>
            <w:r>
              <w:rPr>
                <w:b/>
                <w:highlight w:val="yellow"/>
                <w:lang w:val="en-US"/>
              </w:rPr>
              <w:t>2</w:t>
            </w:r>
            <w:r>
              <w:rPr>
                <w:b/>
                <w:lang w:val="en-US"/>
              </w:rPr>
              <w:t>]</w:t>
            </w:r>
          </w:p>
          <w:p w14:paraId="70558F48" w14:textId="77777777" w:rsidR="00B07D5D" w:rsidRPr="009E182C" w:rsidRDefault="00B07D5D">
            <w:pPr>
              <w:pStyle w:val="Ingenmellomrom"/>
              <w:jc w:val="both"/>
              <w:rPr>
                <w:b/>
                <w:lang w:val="en-US"/>
              </w:rPr>
            </w:pPr>
          </w:p>
          <w:p w14:paraId="1D66B558" w14:textId="77777777" w:rsidR="00B07D5D" w:rsidRPr="009E182C" w:rsidRDefault="00B07D5D">
            <w:pPr>
              <w:pStyle w:val="Ingenmellomrom"/>
              <w:jc w:val="both"/>
              <w:rPr>
                <w:b/>
                <w:lang w:val="en-US"/>
              </w:rPr>
            </w:pPr>
          </w:p>
          <w:p w14:paraId="0847B1EF" w14:textId="77777777" w:rsidR="00B07D5D" w:rsidRPr="009E182C" w:rsidRDefault="00B07D5D">
            <w:pPr>
              <w:pStyle w:val="Ingenmellomrom"/>
              <w:jc w:val="both"/>
              <w:rPr>
                <w:b/>
                <w:lang w:val="en-US"/>
              </w:rPr>
            </w:pPr>
          </w:p>
        </w:tc>
        <w:tc>
          <w:tcPr>
            <w:tcW w:w="429" w:type="pct"/>
            <w:tcBorders>
              <w:top w:val="nil"/>
              <w:bottom w:val="nil"/>
            </w:tcBorders>
          </w:tcPr>
          <w:p w14:paraId="4181E3CF" w14:textId="77777777" w:rsidR="00B07D5D" w:rsidRPr="009E182C" w:rsidRDefault="00B07D5D">
            <w:pPr>
              <w:pStyle w:val="Ingenmellomrom"/>
              <w:jc w:val="both"/>
              <w:rPr>
                <w:lang w:val="en-US"/>
              </w:rPr>
            </w:pPr>
          </w:p>
        </w:tc>
        <w:tc>
          <w:tcPr>
            <w:tcW w:w="2286" w:type="pct"/>
          </w:tcPr>
          <w:p w14:paraId="2F0D48B4" w14:textId="77777777" w:rsidR="00B07D5D" w:rsidRPr="009E182C" w:rsidRDefault="00B07D5D">
            <w:pPr>
              <w:pStyle w:val="Ingenmellomrom"/>
              <w:jc w:val="both"/>
              <w:rPr>
                <w:b/>
                <w:lang w:val="en-US"/>
              </w:rPr>
            </w:pPr>
          </w:p>
        </w:tc>
      </w:tr>
      <w:tr w:rsidR="00B07D5D" w:rsidRPr="009E182C" w14:paraId="785B00FE" w14:textId="77777777">
        <w:tc>
          <w:tcPr>
            <w:tcW w:w="2285" w:type="pct"/>
          </w:tcPr>
          <w:p w14:paraId="5652DC30" w14:textId="77777777" w:rsidR="00B07D5D" w:rsidRPr="009E182C" w:rsidRDefault="00B07D5D">
            <w:pPr>
              <w:pStyle w:val="Ingenmellomrom"/>
              <w:jc w:val="both"/>
              <w:rPr>
                <w:lang w:val="en-US"/>
              </w:rPr>
            </w:pPr>
            <w:r w:rsidRPr="009E182C">
              <w:rPr>
                <w:lang w:val="en-US"/>
              </w:rPr>
              <w:t xml:space="preserve">Name: </w:t>
            </w:r>
          </w:p>
          <w:p w14:paraId="43D5F5B4" w14:textId="77777777" w:rsidR="00B07D5D" w:rsidRPr="009E182C" w:rsidRDefault="00B07D5D">
            <w:pPr>
              <w:pStyle w:val="Ingenmellomrom"/>
              <w:jc w:val="both"/>
              <w:rPr>
                <w:lang w:val="en-US"/>
              </w:rPr>
            </w:pPr>
            <w:r w:rsidRPr="009E182C">
              <w:rPr>
                <w:lang w:val="en-US"/>
              </w:rPr>
              <w:t xml:space="preserve">Title: </w:t>
            </w:r>
          </w:p>
          <w:p w14:paraId="023FD32F" w14:textId="77777777" w:rsidR="00B07D5D" w:rsidRPr="009E182C" w:rsidRDefault="00B07D5D">
            <w:pPr>
              <w:pStyle w:val="Ingenmellomrom"/>
              <w:jc w:val="both"/>
              <w:rPr>
                <w:lang w:val="en-US"/>
              </w:rPr>
            </w:pPr>
          </w:p>
        </w:tc>
        <w:tc>
          <w:tcPr>
            <w:tcW w:w="429" w:type="pct"/>
            <w:tcBorders>
              <w:top w:val="nil"/>
              <w:bottom w:val="nil"/>
            </w:tcBorders>
          </w:tcPr>
          <w:p w14:paraId="65956EEA" w14:textId="77777777" w:rsidR="00B07D5D" w:rsidRPr="009E182C" w:rsidRDefault="00B07D5D">
            <w:pPr>
              <w:pStyle w:val="Ingenmellomrom"/>
              <w:jc w:val="both"/>
              <w:rPr>
                <w:lang w:val="en-US"/>
              </w:rPr>
            </w:pPr>
          </w:p>
        </w:tc>
        <w:tc>
          <w:tcPr>
            <w:tcW w:w="2286" w:type="pct"/>
          </w:tcPr>
          <w:p w14:paraId="30CCF3BB" w14:textId="77777777" w:rsidR="00B07D5D" w:rsidRPr="009E182C" w:rsidRDefault="00B07D5D">
            <w:pPr>
              <w:pStyle w:val="Ingenmellomrom"/>
              <w:jc w:val="both"/>
              <w:rPr>
                <w:lang w:val="en-US"/>
              </w:rPr>
            </w:pPr>
            <w:r w:rsidRPr="009E182C">
              <w:rPr>
                <w:lang w:val="en-US"/>
              </w:rPr>
              <w:t xml:space="preserve">Name: </w:t>
            </w:r>
          </w:p>
          <w:p w14:paraId="41AF2CEB" w14:textId="77777777" w:rsidR="00B07D5D" w:rsidRPr="009E182C" w:rsidRDefault="00B07D5D">
            <w:pPr>
              <w:pStyle w:val="Ingenmellomrom"/>
              <w:jc w:val="both"/>
              <w:rPr>
                <w:lang w:val="en-US"/>
              </w:rPr>
            </w:pPr>
            <w:r w:rsidRPr="009E182C">
              <w:rPr>
                <w:lang w:val="en-US"/>
              </w:rPr>
              <w:t xml:space="preserve">Title: </w:t>
            </w:r>
          </w:p>
        </w:tc>
      </w:tr>
    </w:tbl>
    <w:p w14:paraId="43D3840F" w14:textId="77777777" w:rsidR="00B07D5D" w:rsidRPr="00B07D5D" w:rsidRDefault="00B07D5D" w:rsidP="00B07D5D">
      <w:pPr>
        <w:pStyle w:val="Ingenmellomrom"/>
        <w:rPr>
          <w:lang w:val="en-US"/>
        </w:rPr>
      </w:pPr>
    </w:p>
    <w:tbl>
      <w:tblPr>
        <w:tblStyle w:val="Tabellrutenett"/>
        <w:tblW w:w="5000" w:type="pct"/>
        <w:tblBorders>
          <w:top w:val="none" w:sz="0" w:space="0" w:color="auto"/>
          <w:left w:val="none" w:sz="0" w:space="0" w:color="auto"/>
          <w:bottom w:val="none" w:sz="0" w:space="0" w:color="auto"/>
          <w:right w:val="none" w:sz="0" w:space="0" w:color="auto"/>
          <w:insideH w:val="dotted" w:sz="4" w:space="0" w:color="auto"/>
          <w:insideV w:val="none" w:sz="0" w:space="0" w:color="auto"/>
        </w:tblBorders>
        <w:tblLook w:val="04A0" w:firstRow="1" w:lastRow="0" w:firstColumn="1" w:lastColumn="0" w:noHBand="0" w:noVBand="1"/>
      </w:tblPr>
      <w:tblGrid>
        <w:gridCol w:w="4146"/>
        <w:gridCol w:w="778"/>
        <w:gridCol w:w="4148"/>
      </w:tblGrid>
      <w:tr w:rsidR="00B07D5D" w:rsidRPr="009E182C" w14:paraId="3FC75B90" w14:textId="77777777">
        <w:tc>
          <w:tcPr>
            <w:tcW w:w="2285" w:type="pct"/>
          </w:tcPr>
          <w:p w14:paraId="18CE0591" w14:textId="5606B36A" w:rsidR="00B07D5D" w:rsidRPr="009E182C" w:rsidRDefault="00B07D5D">
            <w:pPr>
              <w:pStyle w:val="Ingenmellomrom"/>
              <w:jc w:val="both"/>
              <w:rPr>
                <w:b/>
                <w:lang w:val="en-US"/>
              </w:rPr>
            </w:pPr>
            <w:r>
              <w:rPr>
                <w:b/>
                <w:lang w:val="en-US"/>
              </w:rPr>
              <w:t>[</w:t>
            </w:r>
            <w:r w:rsidRPr="00B07D5D">
              <w:rPr>
                <w:b/>
                <w:highlight w:val="yellow"/>
                <w:lang w:val="en-US"/>
              </w:rPr>
              <w:t>S</w:t>
            </w:r>
            <w:r>
              <w:rPr>
                <w:b/>
                <w:highlight w:val="yellow"/>
                <w:lang w:val="en-US"/>
              </w:rPr>
              <w:t>ettlement Agent</w:t>
            </w:r>
            <w:r>
              <w:rPr>
                <w:b/>
                <w:lang w:val="en-US"/>
              </w:rPr>
              <w:t>]</w:t>
            </w:r>
          </w:p>
          <w:p w14:paraId="32B84466" w14:textId="77777777" w:rsidR="00B07D5D" w:rsidRPr="009E182C" w:rsidRDefault="00B07D5D">
            <w:pPr>
              <w:pStyle w:val="Ingenmellomrom"/>
              <w:jc w:val="both"/>
              <w:rPr>
                <w:b/>
                <w:lang w:val="en-US"/>
              </w:rPr>
            </w:pPr>
          </w:p>
          <w:p w14:paraId="6224C3C9" w14:textId="77777777" w:rsidR="00B07D5D" w:rsidRPr="009E182C" w:rsidRDefault="00B07D5D">
            <w:pPr>
              <w:pStyle w:val="Ingenmellomrom"/>
              <w:jc w:val="both"/>
              <w:rPr>
                <w:b/>
                <w:lang w:val="en-US"/>
              </w:rPr>
            </w:pPr>
          </w:p>
          <w:p w14:paraId="3777E1D8" w14:textId="77777777" w:rsidR="00B07D5D" w:rsidRPr="009E182C" w:rsidRDefault="00B07D5D">
            <w:pPr>
              <w:pStyle w:val="Ingenmellomrom"/>
              <w:jc w:val="both"/>
              <w:rPr>
                <w:b/>
                <w:lang w:val="en-US"/>
              </w:rPr>
            </w:pPr>
          </w:p>
        </w:tc>
        <w:tc>
          <w:tcPr>
            <w:tcW w:w="429" w:type="pct"/>
            <w:tcBorders>
              <w:top w:val="nil"/>
              <w:bottom w:val="nil"/>
            </w:tcBorders>
          </w:tcPr>
          <w:p w14:paraId="0D1FDD8F" w14:textId="77777777" w:rsidR="00B07D5D" w:rsidRPr="009E182C" w:rsidRDefault="00B07D5D">
            <w:pPr>
              <w:pStyle w:val="Ingenmellomrom"/>
              <w:jc w:val="both"/>
              <w:rPr>
                <w:lang w:val="en-US"/>
              </w:rPr>
            </w:pPr>
          </w:p>
        </w:tc>
        <w:tc>
          <w:tcPr>
            <w:tcW w:w="2286" w:type="pct"/>
          </w:tcPr>
          <w:p w14:paraId="1A83725F" w14:textId="77777777" w:rsidR="00B07D5D" w:rsidRPr="009E182C" w:rsidRDefault="00B07D5D">
            <w:pPr>
              <w:pStyle w:val="Ingenmellomrom"/>
              <w:jc w:val="both"/>
              <w:rPr>
                <w:b/>
                <w:lang w:val="en-US"/>
              </w:rPr>
            </w:pPr>
          </w:p>
        </w:tc>
      </w:tr>
      <w:tr w:rsidR="00B07D5D" w:rsidRPr="009E182C" w14:paraId="45D8D18B" w14:textId="77777777">
        <w:tc>
          <w:tcPr>
            <w:tcW w:w="2285" w:type="pct"/>
          </w:tcPr>
          <w:p w14:paraId="5E106DDD" w14:textId="77777777" w:rsidR="00B07D5D" w:rsidRPr="009E182C" w:rsidRDefault="00B07D5D">
            <w:pPr>
              <w:pStyle w:val="Ingenmellomrom"/>
              <w:jc w:val="both"/>
              <w:rPr>
                <w:lang w:val="en-US"/>
              </w:rPr>
            </w:pPr>
            <w:r w:rsidRPr="009E182C">
              <w:rPr>
                <w:lang w:val="en-US"/>
              </w:rPr>
              <w:t xml:space="preserve">Name: </w:t>
            </w:r>
          </w:p>
          <w:p w14:paraId="3753AD39" w14:textId="77777777" w:rsidR="00B07D5D" w:rsidRPr="009E182C" w:rsidRDefault="00B07D5D">
            <w:pPr>
              <w:pStyle w:val="Ingenmellomrom"/>
              <w:jc w:val="both"/>
              <w:rPr>
                <w:lang w:val="en-US"/>
              </w:rPr>
            </w:pPr>
            <w:r w:rsidRPr="009E182C">
              <w:rPr>
                <w:lang w:val="en-US"/>
              </w:rPr>
              <w:t xml:space="preserve">Title: </w:t>
            </w:r>
          </w:p>
          <w:p w14:paraId="202939CD" w14:textId="77777777" w:rsidR="00B07D5D" w:rsidRPr="009E182C" w:rsidRDefault="00B07D5D">
            <w:pPr>
              <w:pStyle w:val="Ingenmellomrom"/>
              <w:jc w:val="both"/>
              <w:rPr>
                <w:lang w:val="en-US"/>
              </w:rPr>
            </w:pPr>
          </w:p>
        </w:tc>
        <w:tc>
          <w:tcPr>
            <w:tcW w:w="429" w:type="pct"/>
            <w:tcBorders>
              <w:top w:val="nil"/>
              <w:bottom w:val="nil"/>
            </w:tcBorders>
          </w:tcPr>
          <w:p w14:paraId="689B3BFF" w14:textId="77777777" w:rsidR="00B07D5D" w:rsidRPr="009E182C" w:rsidRDefault="00B07D5D">
            <w:pPr>
              <w:pStyle w:val="Ingenmellomrom"/>
              <w:jc w:val="both"/>
              <w:rPr>
                <w:lang w:val="en-US"/>
              </w:rPr>
            </w:pPr>
          </w:p>
        </w:tc>
        <w:tc>
          <w:tcPr>
            <w:tcW w:w="2286" w:type="pct"/>
          </w:tcPr>
          <w:p w14:paraId="26598D44" w14:textId="77777777" w:rsidR="00B07D5D" w:rsidRPr="009E182C" w:rsidRDefault="00B07D5D">
            <w:pPr>
              <w:pStyle w:val="Ingenmellomrom"/>
              <w:jc w:val="both"/>
              <w:rPr>
                <w:lang w:val="en-US"/>
              </w:rPr>
            </w:pPr>
            <w:r w:rsidRPr="009E182C">
              <w:rPr>
                <w:lang w:val="en-US"/>
              </w:rPr>
              <w:t xml:space="preserve">Name: </w:t>
            </w:r>
          </w:p>
          <w:p w14:paraId="548D2532" w14:textId="77777777" w:rsidR="00B07D5D" w:rsidRPr="009E182C" w:rsidRDefault="00B07D5D">
            <w:pPr>
              <w:pStyle w:val="Ingenmellomrom"/>
              <w:jc w:val="both"/>
              <w:rPr>
                <w:lang w:val="en-US"/>
              </w:rPr>
            </w:pPr>
            <w:r w:rsidRPr="009E182C">
              <w:rPr>
                <w:lang w:val="en-US"/>
              </w:rPr>
              <w:t xml:space="preserve">Title: </w:t>
            </w:r>
          </w:p>
        </w:tc>
      </w:tr>
      <w:tr w:rsidR="000F5902" w:rsidRPr="009E182C" w14:paraId="6D896543" w14:textId="77777777" w:rsidTr="000F59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85" w:type="pct"/>
          </w:tcPr>
          <w:p w14:paraId="073A45D9" w14:textId="30FA1E1A" w:rsidR="000F5902" w:rsidRPr="009E182C" w:rsidRDefault="000F5902">
            <w:pPr>
              <w:pStyle w:val="Ingenmellomrom"/>
              <w:jc w:val="both"/>
              <w:rPr>
                <w:b/>
                <w:lang w:val="en-US"/>
              </w:rPr>
            </w:pPr>
            <w:r>
              <w:rPr>
                <w:b/>
                <w:lang w:val="en-US"/>
              </w:rPr>
              <w:t>[Manager]</w:t>
            </w:r>
          </w:p>
          <w:p w14:paraId="61965538" w14:textId="77777777" w:rsidR="000F5902" w:rsidRPr="009E182C" w:rsidRDefault="000F5902">
            <w:pPr>
              <w:pStyle w:val="Ingenmellomrom"/>
              <w:jc w:val="both"/>
              <w:rPr>
                <w:b/>
                <w:lang w:val="en-US"/>
              </w:rPr>
            </w:pPr>
          </w:p>
          <w:p w14:paraId="5F5038CF" w14:textId="77777777" w:rsidR="000F5902" w:rsidRPr="009E182C" w:rsidRDefault="000F5902">
            <w:pPr>
              <w:pStyle w:val="Ingenmellomrom"/>
              <w:jc w:val="both"/>
              <w:rPr>
                <w:b/>
                <w:lang w:val="en-US"/>
              </w:rPr>
            </w:pPr>
          </w:p>
          <w:p w14:paraId="23A03385" w14:textId="77777777" w:rsidR="000F5902" w:rsidRPr="009E182C" w:rsidRDefault="000F5902">
            <w:pPr>
              <w:pStyle w:val="Ingenmellomrom"/>
              <w:jc w:val="both"/>
              <w:rPr>
                <w:b/>
                <w:lang w:val="en-US"/>
              </w:rPr>
            </w:pPr>
          </w:p>
        </w:tc>
        <w:tc>
          <w:tcPr>
            <w:tcW w:w="429" w:type="pct"/>
          </w:tcPr>
          <w:p w14:paraId="53E53262" w14:textId="77777777" w:rsidR="000F5902" w:rsidRPr="009E182C" w:rsidRDefault="000F5902">
            <w:pPr>
              <w:pStyle w:val="Ingenmellomrom"/>
              <w:jc w:val="both"/>
              <w:rPr>
                <w:lang w:val="en-US"/>
              </w:rPr>
            </w:pPr>
          </w:p>
        </w:tc>
        <w:tc>
          <w:tcPr>
            <w:tcW w:w="2286" w:type="pct"/>
          </w:tcPr>
          <w:p w14:paraId="1ACAB4DE" w14:textId="77777777" w:rsidR="000F5902" w:rsidRPr="009E182C" w:rsidRDefault="000F5902">
            <w:pPr>
              <w:pStyle w:val="Ingenmellomrom"/>
              <w:jc w:val="both"/>
              <w:rPr>
                <w:b/>
                <w:lang w:val="en-US"/>
              </w:rPr>
            </w:pPr>
          </w:p>
        </w:tc>
      </w:tr>
      <w:tr w:rsidR="000F5902" w:rsidRPr="009E182C" w14:paraId="2F1B04A7" w14:textId="77777777" w:rsidTr="000F59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85" w:type="pct"/>
          </w:tcPr>
          <w:p w14:paraId="4AFEB985" w14:textId="77777777" w:rsidR="000F5902" w:rsidRPr="009E182C" w:rsidRDefault="000F5902">
            <w:pPr>
              <w:pStyle w:val="Ingenmellomrom"/>
              <w:jc w:val="both"/>
              <w:rPr>
                <w:lang w:val="en-US"/>
              </w:rPr>
            </w:pPr>
            <w:r w:rsidRPr="009E182C">
              <w:rPr>
                <w:lang w:val="en-US"/>
              </w:rPr>
              <w:t xml:space="preserve">Name: </w:t>
            </w:r>
          </w:p>
          <w:p w14:paraId="291FF8A9" w14:textId="77777777" w:rsidR="000F5902" w:rsidRPr="009E182C" w:rsidRDefault="000F5902">
            <w:pPr>
              <w:pStyle w:val="Ingenmellomrom"/>
              <w:jc w:val="both"/>
              <w:rPr>
                <w:lang w:val="en-US"/>
              </w:rPr>
            </w:pPr>
            <w:r w:rsidRPr="009E182C">
              <w:rPr>
                <w:lang w:val="en-US"/>
              </w:rPr>
              <w:t xml:space="preserve">Title: </w:t>
            </w:r>
          </w:p>
          <w:p w14:paraId="4A9340F6" w14:textId="77777777" w:rsidR="000F5902" w:rsidRPr="009E182C" w:rsidRDefault="000F5902">
            <w:pPr>
              <w:pStyle w:val="Ingenmellomrom"/>
              <w:jc w:val="both"/>
              <w:rPr>
                <w:lang w:val="en-US"/>
              </w:rPr>
            </w:pPr>
          </w:p>
        </w:tc>
        <w:tc>
          <w:tcPr>
            <w:tcW w:w="429" w:type="pct"/>
          </w:tcPr>
          <w:p w14:paraId="0E3007D8" w14:textId="77777777" w:rsidR="000F5902" w:rsidRPr="009E182C" w:rsidRDefault="000F5902">
            <w:pPr>
              <w:pStyle w:val="Ingenmellomrom"/>
              <w:jc w:val="both"/>
              <w:rPr>
                <w:lang w:val="en-US"/>
              </w:rPr>
            </w:pPr>
          </w:p>
        </w:tc>
        <w:tc>
          <w:tcPr>
            <w:tcW w:w="2286" w:type="pct"/>
          </w:tcPr>
          <w:p w14:paraId="63A9A137" w14:textId="77777777" w:rsidR="000F5902" w:rsidRPr="009E182C" w:rsidRDefault="000F5902">
            <w:pPr>
              <w:pStyle w:val="Ingenmellomrom"/>
              <w:jc w:val="both"/>
              <w:rPr>
                <w:lang w:val="en-US"/>
              </w:rPr>
            </w:pPr>
            <w:r w:rsidRPr="009E182C">
              <w:rPr>
                <w:lang w:val="en-US"/>
              </w:rPr>
              <w:t xml:space="preserve">Name: </w:t>
            </w:r>
          </w:p>
          <w:p w14:paraId="7D9A9A36" w14:textId="77777777" w:rsidR="000F5902" w:rsidRPr="009E182C" w:rsidRDefault="000F5902">
            <w:pPr>
              <w:pStyle w:val="Ingenmellomrom"/>
              <w:jc w:val="both"/>
              <w:rPr>
                <w:lang w:val="en-US"/>
              </w:rPr>
            </w:pPr>
            <w:r w:rsidRPr="009E182C">
              <w:rPr>
                <w:lang w:val="en-US"/>
              </w:rPr>
              <w:t xml:space="preserve">Title: </w:t>
            </w:r>
          </w:p>
        </w:tc>
      </w:tr>
    </w:tbl>
    <w:p w14:paraId="1D4BF755" w14:textId="6E9321E8" w:rsidR="00EB4C40" w:rsidRDefault="00EB4C40" w:rsidP="00B07D5D">
      <w:pPr>
        <w:pStyle w:val="Ingenmellomrom"/>
        <w:rPr>
          <w:lang w:val="en-US"/>
        </w:rPr>
      </w:pPr>
    </w:p>
    <w:tbl>
      <w:tblPr>
        <w:tblStyle w:val="Tabellrutenett"/>
        <w:tblW w:w="5000" w:type="pct"/>
        <w:tblBorders>
          <w:top w:val="none" w:sz="0" w:space="0" w:color="auto"/>
          <w:left w:val="none" w:sz="0" w:space="0" w:color="auto"/>
          <w:bottom w:val="none" w:sz="0" w:space="0" w:color="auto"/>
          <w:right w:val="none" w:sz="0" w:space="0" w:color="auto"/>
          <w:insideH w:val="dotted" w:sz="4" w:space="0" w:color="auto"/>
          <w:insideV w:val="none" w:sz="0" w:space="0" w:color="auto"/>
        </w:tblBorders>
        <w:tblLook w:val="04A0" w:firstRow="1" w:lastRow="0" w:firstColumn="1" w:lastColumn="0" w:noHBand="0" w:noVBand="1"/>
      </w:tblPr>
      <w:tblGrid>
        <w:gridCol w:w="4146"/>
        <w:gridCol w:w="778"/>
        <w:gridCol w:w="4148"/>
      </w:tblGrid>
      <w:tr w:rsidR="000F5902" w:rsidRPr="009E182C" w14:paraId="52261614" w14:textId="77777777">
        <w:tc>
          <w:tcPr>
            <w:tcW w:w="2285" w:type="pct"/>
          </w:tcPr>
          <w:p w14:paraId="1DAC6AC9" w14:textId="13E86B02" w:rsidR="000F5902" w:rsidRPr="009E182C" w:rsidRDefault="000F5902">
            <w:pPr>
              <w:pStyle w:val="Ingenmellomrom"/>
              <w:jc w:val="both"/>
              <w:rPr>
                <w:b/>
                <w:lang w:val="en-US"/>
              </w:rPr>
            </w:pPr>
            <w:r>
              <w:rPr>
                <w:b/>
                <w:lang w:val="en-US"/>
              </w:rPr>
              <w:t>[Manager]</w:t>
            </w:r>
          </w:p>
          <w:p w14:paraId="7A8972B0" w14:textId="77777777" w:rsidR="000F5902" w:rsidRPr="009E182C" w:rsidRDefault="000F5902">
            <w:pPr>
              <w:pStyle w:val="Ingenmellomrom"/>
              <w:jc w:val="both"/>
              <w:rPr>
                <w:b/>
                <w:lang w:val="en-US"/>
              </w:rPr>
            </w:pPr>
          </w:p>
          <w:p w14:paraId="0601C9B2" w14:textId="77777777" w:rsidR="000F5902" w:rsidRPr="009E182C" w:rsidRDefault="000F5902">
            <w:pPr>
              <w:pStyle w:val="Ingenmellomrom"/>
              <w:jc w:val="both"/>
              <w:rPr>
                <w:b/>
                <w:lang w:val="en-US"/>
              </w:rPr>
            </w:pPr>
          </w:p>
          <w:p w14:paraId="0DA3599B" w14:textId="77777777" w:rsidR="000F5902" w:rsidRPr="009E182C" w:rsidRDefault="000F5902">
            <w:pPr>
              <w:pStyle w:val="Ingenmellomrom"/>
              <w:jc w:val="both"/>
              <w:rPr>
                <w:b/>
                <w:lang w:val="en-US"/>
              </w:rPr>
            </w:pPr>
          </w:p>
        </w:tc>
        <w:tc>
          <w:tcPr>
            <w:tcW w:w="429" w:type="pct"/>
            <w:tcBorders>
              <w:top w:val="nil"/>
              <w:bottom w:val="nil"/>
            </w:tcBorders>
          </w:tcPr>
          <w:p w14:paraId="4EB13BAA" w14:textId="77777777" w:rsidR="000F5902" w:rsidRPr="009E182C" w:rsidRDefault="000F5902">
            <w:pPr>
              <w:pStyle w:val="Ingenmellomrom"/>
              <w:jc w:val="both"/>
              <w:rPr>
                <w:lang w:val="en-US"/>
              </w:rPr>
            </w:pPr>
          </w:p>
        </w:tc>
        <w:tc>
          <w:tcPr>
            <w:tcW w:w="2286" w:type="pct"/>
          </w:tcPr>
          <w:p w14:paraId="004AD6FB" w14:textId="77777777" w:rsidR="000F5902" w:rsidRPr="009E182C" w:rsidRDefault="000F5902">
            <w:pPr>
              <w:pStyle w:val="Ingenmellomrom"/>
              <w:jc w:val="both"/>
              <w:rPr>
                <w:b/>
                <w:lang w:val="en-US"/>
              </w:rPr>
            </w:pPr>
          </w:p>
        </w:tc>
      </w:tr>
      <w:tr w:rsidR="000F5902" w:rsidRPr="009E182C" w14:paraId="6B646979" w14:textId="77777777">
        <w:tc>
          <w:tcPr>
            <w:tcW w:w="2285" w:type="pct"/>
          </w:tcPr>
          <w:p w14:paraId="1A29CE44" w14:textId="77777777" w:rsidR="000F5902" w:rsidRPr="009E182C" w:rsidRDefault="000F5902">
            <w:pPr>
              <w:pStyle w:val="Ingenmellomrom"/>
              <w:jc w:val="both"/>
              <w:rPr>
                <w:lang w:val="en-US"/>
              </w:rPr>
            </w:pPr>
            <w:r w:rsidRPr="009E182C">
              <w:rPr>
                <w:lang w:val="en-US"/>
              </w:rPr>
              <w:t xml:space="preserve">Name: </w:t>
            </w:r>
          </w:p>
          <w:p w14:paraId="50DAD620" w14:textId="77777777" w:rsidR="000F5902" w:rsidRPr="009E182C" w:rsidRDefault="000F5902">
            <w:pPr>
              <w:pStyle w:val="Ingenmellomrom"/>
              <w:jc w:val="both"/>
              <w:rPr>
                <w:lang w:val="en-US"/>
              </w:rPr>
            </w:pPr>
            <w:r w:rsidRPr="009E182C">
              <w:rPr>
                <w:lang w:val="en-US"/>
              </w:rPr>
              <w:t xml:space="preserve">Title: </w:t>
            </w:r>
          </w:p>
          <w:p w14:paraId="76557824" w14:textId="77777777" w:rsidR="000F5902" w:rsidRPr="009E182C" w:rsidRDefault="000F5902">
            <w:pPr>
              <w:pStyle w:val="Ingenmellomrom"/>
              <w:jc w:val="both"/>
              <w:rPr>
                <w:lang w:val="en-US"/>
              </w:rPr>
            </w:pPr>
          </w:p>
        </w:tc>
        <w:tc>
          <w:tcPr>
            <w:tcW w:w="429" w:type="pct"/>
            <w:tcBorders>
              <w:top w:val="nil"/>
              <w:bottom w:val="nil"/>
            </w:tcBorders>
          </w:tcPr>
          <w:p w14:paraId="47EEFA35" w14:textId="77777777" w:rsidR="000F5902" w:rsidRPr="009E182C" w:rsidRDefault="000F5902">
            <w:pPr>
              <w:pStyle w:val="Ingenmellomrom"/>
              <w:jc w:val="both"/>
              <w:rPr>
                <w:lang w:val="en-US"/>
              </w:rPr>
            </w:pPr>
          </w:p>
        </w:tc>
        <w:tc>
          <w:tcPr>
            <w:tcW w:w="2286" w:type="pct"/>
          </w:tcPr>
          <w:p w14:paraId="3601AA48" w14:textId="77777777" w:rsidR="000F5902" w:rsidRPr="009E182C" w:rsidRDefault="000F5902">
            <w:pPr>
              <w:pStyle w:val="Ingenmellomrom"/>
              <w:jc w:val="both"/>
              <w:rPr>
                <w:lang w:val="en-US"/>
              </w:rPr>
            </w:pPr>
            <w:r w:rsidRPr="009E182C">
              <w:rPr>
                <w:lang w:val="en-US"/>
              </w:rPr>
              <w:t xml:space="preserve">Name: </w:t>
            </w:r>
          </w:p>
          <w:p w14:paraId="78EE5CA0" w14:textId="77777777" w:rsidR="000F5902" w:rsidRPr="009E182C" w:rsidRDefault="000F5902">
            <w:pPr>
              <w:pStyle w:val="Ingenmellomrom"/>
              <w:jc w:val="both"/>
              <w:rPr>
                <w:lang w:val="en-US"/>
              </w:rPr>
            </w:pPr>
            <w:r w:rsidRPr="009E182C">
              <w:rPr>
                <w:lang w:val="en-US"/>
              </w:rPr>
              <w:t xml:space="preserve">Title: </w:t>
            </w:r>
          </w:p>
        </w:tc>
      </w:tr>
    </w:tbl>
    <w:p w14:paraId="1D88A19B" w14:textId="77777777" w:rsidR="000F5902" w:rsidRPr="00B07D5D" w:rsidRDefault="000F5902" w:rsidP="00B07D5D">
      <w:pPr>
        <w:pStyle w:val="Ingenmellomrom"/>
        <w:rPr>
          <w:lang w:val="en-US"/>
        </w:rPr>
      </w:pPr>
    </w:p>
    <w:sectPr w:rsidR="000F5902" w:rsidRPr="00B07D5D">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DA4F7" w14:textId="77777777" w:rsidR="00C81AE9" w:rsidRDefault="00C81AE9" w:rsidP="00D93D06">
      <w:pPr>
        <w:spacing w:after="0" w:line="240" w:lineRule="auto"/>
      </w:pPr>
      <w:r>
        <w:separator/>
      </w:r>
    </w:p>
  </w:endnote>
  <w:endnote w:type="continuationSeparator" w:id="0">
    <w:p w14:paraId="7EAE424B" w14:textId="77777777" w:rsidR="00C81AE9" w:rsidRDefault="00C81AE9" w:rsidP="00D93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498AF" w14:textId="77777777" w:rsidR="00C81AE9" w:rsidRDefault="00C81AE9" w:rsidP="00D93D06">
      <w:pPr>
        <w:spacing w:after="0" w:line="240" w:lineRule="auto"/>
      </w:pPr>
      <w:r>
        <w:separator/>
      </w:r>
    </w:p>
  </w:footnote>
  <w:footnote w:type="continuationSeparator" w:id="0">
    <w:p w14:paraId="0D17303A" w14:textId="77777777" w:rsidR="00C81AE9" w:rsidRDefault="00C81AE9" w:rsidP="00D93D06">
      <w:pPr>
        <w:spacing w:after="0" w:line="240" w:lineRule="auto"/>
      </w:pPr>
      <w:r>
        <w:continuationSeparator/>
      </w:r>
    </w:p>
  </w:footnote>
  <w:footnote w:id="1">
    <w:p w14:paraId="338ED6FB" w14:textId="220BCF26" w:rsidR="00EE22CC" w:rsidRPr="00DF1FA5" w:rsidRDefault="00EE22CC" w:rsidP="00EE22CC">
      <w:pPr>
        <w:pStyle w:val="Fotnotetekst"/>
        <w:rPr>
          <w:lang w:val="en-US"/>
        </w:rPr>
      </w:pPr>
      <w:r>
        <w:rPr>
          <w:rStyle w:val="Fotnotereferanse"/>
        </w:rPr>
        <w:footnoteRef/>
      </w:r>
      <w:r w:rsidRPr="00DF1FA5">
        <w:rPr>
          <w:lang w:val="en-US"/>
        </w:rPr>
        <w:t xml:space="preserve"> </w:t>
      </w:r>
      <w:r w:rsidRPr="00CD42BD">
        <w:rPr>
          <w:lang w:val="en-US"/>
        </w:rPr>
        <w:t xml:space="preserve"> Agreement to be adjusted if there is no syndicate</w:t>
      </w:r>
      <w:r>
        <w:rPr>
          <w:lang w:val="en-US"/>
        </w:rPr>
        <w:t xml:space="preserve"> and/or only one share lender.</w:t>
      </w:r>
    </w:p>
  </w:footnote>
  <w:footnote w:id="2">
    <w:p w14:paraId="3B7C9231" w14:textId="5CA612BB" w:rsidR="00CD42BD" w:rsidRPr="001D7CA0" w:rsidRDefault="00CD42BD">
      <w:pPr>
        <w:pStyle w:val="Fotnotetekst"/>
        <w:rPr>
          <w:lang w:val="en-US"/>
        </w:rPr>
      </w:pPr>
      <w:r>
        <w:rPr>
          <w:rStyle w:val="Fotnotereferanse"/>
        </w:rPr>
        <w:footnoteRef/>
      </w:r>
      <w:r w:rsidRPr="001D7CA0">
        <w:rPr>
          <w:lang w:val="en-US"/>
        </w:rPr>
        <w:t xml:space="preserve"> </w:t>
      </w:r>
      <w:r w:rsidRPr="00CD42BD">
        <w:rPr>
          <w:lang w:val="en-US"/>
        </w:rPr>
        <w:t>Agreement to be adjusted if the offering comprises of several tranches.</w:t>
      </w:r>
    </w:p>
  </w:footnote>
  <w:footnote w:id="3">
    <w:p w14:paraId="1F78BD7E" w14:textId="3211F273" w:rsidR="00B11A48" w:rsidRPr="00DA1A49" w:rsidRDefault="00B11A48">
      <w:pPr>
        <w:pStyle w:val="Fotnotetekst"/>
        <w:rPr>
          <w:lang w:val="en-US"/>
        </w:rPr>
      </w:pPr>
      <w:r>
        <w:rPr>
          <w:rStyle w:val="Fotnotereferanse"/>
        </w:rPr>
        <w:footnoteRef/>
      </w:r>
      <w:r w:rsidRPr="0052288A">
        <w:rPr>
          <w:lang w:val="en-US"/>
        </w:rPr>
        <w:t xml:space="preserve"> </w:t>
      </w:r>
      <w:r w:rsidRPr="00DA1A49">
        <w:rPr>
          <w:lang w:val="en-US"/>
        </w:rPr>
        <w:t xml:space="preserve">To be adjusted if </w:t>
      </w:r>
      <w:r>
        <w:rPr>
          <w:lang w:val="en-US"/>
        </w:rPr>
        <w:t>all or part of the shares are to be issued on a separate ISIN pending approval of a listing prospectus.</w:t>
      </w:r>
    </w:p>
  </w:footnote>
  <w:footnote w:id="4">
    <w:p w14:paraId="2F83DC8F" w14:textId="4E1E6022" w:rsidR="00486BD6" w:rsidRPr="0052288A" w:rsidRDefault="00486BD6">
      <w:pPr>
        <w:pStyle w:val="Fotnotetekst"/>
        <w:rPr>
          <w:lang w:val="en-US"/>
        </w:rPr>
      </w:pPr>
      <w:r>
        <w:rPr>
          <w:rStyle w:val="Fotnotereferanse"/>
        </w:rPr>
        <w:footnoteRef/>
      </w:r>
      <w:r w:rsidRPr="0052288A">
        <w:rPr>
          <w:lang w:val="en-US"/>
        </w:rPr>
        <w:t xml:space="preserve"> Can be removed if no s</w:t>
      </w:r>
      <w:r>
        <w:rPr>
          <w:lang w:val="en-US"/>
        </w:rPr>
        <w:t xml:space="preserve">yndicate. </w:t>
      </w:r>
    </w:p>
  </w:footnote>
  <w:footnote w:id="5">
    <w:p w14:paraId="03081B2A" w14:textId="721786D7" w:rsidR="009A56D5" w:rsidRPr="007B5636" w:rsidRDefault="009A56D5">
      <w:pPr>
        <w:pStyle w:val="Fotnotetekst"/>
        <w:rPr>
          <w:lang w:val="en-GB"/>
        </w:rPr>
      </w:pPr>
      <w:r>
        <w:rPr>
          <w:rStyle w:val="Fotnotereferanse"/>
        </w:rPr>
        <w:footnoteRef/>
      </w:r>
      <w:r w:rsidRPr="007E52CE">
        <w:rPr>
          <w:lang w:val="en-GB"/>
        </w:rPr>
        <w:t xml:space="preserve"> </w:t>
      </w:r>
      <w:r w:rsidR="001D0E0E" w:rsidRPr="007E52CE">
        <w:rPr>
          <w:lang w:val="en-GB"/>
        </w:rPr>
        <w:t xml:space="preserve">Arbitration </w:t>
      </w:r>
      <w:r w:rsidR="00EF4A84" w:rsidRPr="007E52CE">
        <w:rPr>
          <w:lang w:val="en-GB"/>
        </w:rPr>
        <w:t>may</w:t>
      </w:r>
      <w:r w:rsidR="001D0E0E" w:rsidRPr="007E52CE">
        <w:rPr>
          <w:lang w:val="en-GB"/>
        </w:rPr>
        <w:t xml:space="preserve"> be considered</w:t>
      </w:r>
      <w:r w:rsidR="00932974" w:rsidRPr="007E52CE">
        <w:rPr>
          <w:lang w:val="en-GB"/>
        </w:rPr>
        <w:t>.</w:t>
      </w:r>
      <w:r w:rsidR="00827A22" w:rsidRPr="007E52CE">
        <w:rPr>
          <w:lang w:val="en-GB"/>
        </w:rPr>
        <w:t xml:space="preserve"> Di</w:t>
      </w:r>
      <w:r w:rsidR="00742D0C">
        <w:rPr>
          <w:lang w:val="en-GB"/>
        </w:rPr>
        <w:t xml:space="preserve">spute clause should be aligned with other agreements with the </w:t>
      </w:r>
      <w:r w:rsidR="005D7A7A">
        <w:rPr>
          <w:lang w:val="en-GB"/>
        </w:rPr>
        <w:t>Company.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80AB0" w14:textId="0E92B2E1" w:rsidR="006B11E3" w:rsidRDefault="00020FF9" w:rsidP="00CC76A5">
    <w:pPr>
      <w:pStyle w:val="Ingenmellomrom"/>
    </w:pPr>
    <w:sdt>
      <w:sdtPr>
        <w:id w:val="-1844782035"/>
        <w:docPartObj>
          <w:docPartGallery w:val="Page Numbers (Top of Page)"/>
          <w:docPartUnique/>
        </w:docPartObj>
      </w:sdtPr>
      <w:sdtEndPr/>
      <w:sdtContent>
        <w:r w:rsidR="00FC2AD4">
          <w:tab/>
        </w:r>
        <w:r w:rsidR="00FC2AD4">
          <w:tab/>
        </w:r>
        <w:r w:rsidR="00FC2AD4">
          <w:tab/>
        </w:r>
        <w:r w:rsidR="00FC2AD4">
          <w:tab/>
        </w:r>
        <w:r w:rsidR="00FC2AD4">
          <w:tab/>
        </w:r>
        <w:r w:rsidR="00FC2AD4">
          <w:tab/>
        </w:r>
        <w:r w:rsidR="00FC2AD4">
          <w:tab/>
        </w:r>
        <w:r w:rsidR="00FC2AD4">
          <w:tab/>
        </w:r>
        <w:r w:rsidR="00FC2AD4">
          <w:tab/>
        </w:r>
        <w:r w:rsidR="00CC76A5">
          <w:rPr>
            <w:i/>
            <w:iCs/>
          </w:rPr>
          <w:tab/>
        </w:r>
        <w:r w:rsidR="00CC76A5">
          <w:rPr>
            <w:i/>
            <w:iCs/>
          </w:rPr>
          <w:tab/>
        </w:r>
        <w:r w:rsidR="00CC76A5">
          <w:rPr>
            <w:i/>
            <w:iCs/>
          </w:rPr>
          <w:tab/>
          <w:t xml:space="preserve"> </w:t>
        </w:r>
        <w:r w:rsidR="00430E2D">
          <w:fldChar w:fldCharType="begin"/>
        </w:r>
        <w:r w:rsidR="00430E2D">
          <w:instrText>PAGE   \* MERGEFORMAT</w:instrText>
        </w:r>
        <w:r w:rsidR="00430E2D">
          <w:fldChar w:fldCharType="separate"/>
        </w:r>
        <w:r w:rsidR="00430E2D">
          <w:t>2</w:t>
        </w:r>
        <w:r w:rsidR="00430E2D">
          <w:fldChar w:fldCharType="end"/>
        </w:r>
        <w:r w:rsidR="00430E2D">
          <w:t>/</w:t>
        </w:r>
        <w:r w:rsidR="00B07D5D">
          <w:t>6</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295F"/>
    <w:multiLevelType w:val="multilevel"/>
    <w:tmpl w:val="2EB2DD5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1B660E2"/>
    <w:multiLevelType w:val="multilevel"/>
    <w:tmpl w:val="8F70620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2830D58"/>
    <w:multiLevelType w:val="hybridMultilevel"/>
    <w:tmpl w:val="B99E5100"/>
    <w:lvl w:ilvl="0" w:tplc="EC146A5C">
      <w:start w:val="1"/>
      <w:numFmt w:val="lowerLetter"/>
      <w:lvlText w:val="%1)"/>
      <w:lvlJc w:val="left"/>
      <w:pPr>
        <w:ind w:left="930" w:hanging="360"/>
      </w:pPr>
      <w:rPr>
        <w:rFonts w:hint="default"/>
      </w:rPr>
    </w:lvl>
    <w:lvl w:ilvl="1" w:tplc="04140019" w:tentative="1">
      <w:start w:val="1"/>
      <w:numFmt w:val="lowerLetter"/>
      <w:lvlText w:val="%2."/>
      <w:lvlJc w:val="left"/>
      <w:pPr>
        <w:ind w:left="1650" w:hanging="360"/>
      </w:pPr>
    </w:lvl>
    <w:lvl w:ilvl="2" w:tplc="0414001B" w:tentative="1">
      <w:start w:val="1"/>
      <w:numFmt w:val="lowerRoman"/>
      <w:lvlText w:val="%3."/>
      <w:lvlJc w:val="right"/>
      <w:pPr>
        <w:ind w:left="2370" w:hanging="180"/>
      </w:pPr>
    </w:lvl>
    <w:lvl w:ilvl="3" w:tplc="0414000F" w:tentative="1">
      <w:start w:val="1"/>
      <w:numFmt w:val="decimal"/>
      <w:lvlText w:val="%4."/>
      <w:lvlJc w:val="left"/>
      <w:pPr>
        <w:ind w:left="3090" w:hanging="360"/>
      </w:pPr>
    </w:lvl>
    <w:lvl w:ilvl="4" w:tplc="04140019" w:tentative="1">
      <w:start w:val="1"/>
      <w:numFmt w:val="lowerLetter"/>
      <w:lvlText w:val="%5."/>
      <w:lvlJc w:val="left"/>
      <w:pPr>
        <w:ind w:left="3810" w:hanging="360"/>
      </w:pPr>
    </w:lvl>
    <w:lvl w:ilvl="5" w:tplc="0414001B" w:tentative="1">
      <w:start w:val="1"/>
      <w:numFmt w:val="lowerRoman"/>
      <w:lvlText w:val="%6."/>
      <w:lvlJc w:val="right"/>
      <w:pPr>
        <w:ind w:left="4530" w:hanging="180"/>
      </w:pPr>
    </w:lvl>
    <w:lvl w:ilvl="6" w:tplc="0414000F" w:tentative="1">
      <w:start w:val="1"/>
      <w:numFmt w:val="decimal"/>
      <w:lvlText w:val="%7."/>
      <w:lvlJc w:val="left"/>
      <w:pPr>
        <w:ind w:left="5250" w:hanging="360"/>
      </w:pPr>
    </w:lvl>
    <w:lvl w:ilvl="7" w:tplc="04140019" w:tentative="1">
      <w:start w:val="1"/>
      <w:numFmt w:val="lowerLetter"/>
      <w:lvlText w:val="%8."/>
      <w:lvlJc w:val="left"/>
      <w:pPr>
        <w:ind w:left="5970" w:hanging="360"/>
      </w:pPr>
    </w:lvl>
    <w:lvl w:ilvl="8" w:tplc="0414001B" w:tentative="1">
      <w:start w:val="1"/>
      <w:numFmt w:val="lowerRoman"/>
      <w:lvlText w:val="%9."/>
      <w:lvlJc w:val="right"/>
      <w:pPr>
        <w:ind w:left="6690" w:hanging="180"/>
      </w:pPr>
    </w:lvl>
  </w:abstractNum>
  <w:abstractNum w:abstractNumId="3" w15:restartNumberingAfterBreak="0">
    <w:nsid w:val="04F6039C"/>
    <w:multiLevelType w:val="hybridMultilevel"/>
    <w:tmpl w:val="965E0196"/>
    <w:lvl w:ilvl="0" w:tplc="44A0F954">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0CA8280B"/>
    <w:multiLevelType w:val="hybridMultilevel"/>
    <w:tmpl w:val="5CE067E2"/>
    <w:lvl w:ilvl="0" w:tplc="16B2065C">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10A8321C"/>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D3434F"/>
    <w:multiLevelType w:val="multilevel"/>
    <w:tmpl w:val="058E9476"/>
    <w:lvl w:ilvl="0">
      <w:start w:val="10"/>
      <w:numFmt w:val="decimal"/>
      <w:lvlText w:val="%1"/>
      <w:lvlJc w:val="left"/>
      <w:pPr>
        <w:ind w:left="390" w:hanging="390"/>
      </w:pPr>
      <w:rPr>
        <w:rFonts w:hint="default"/>
        <w:u w:val="single"/>
      </w:rPr>
    </w:lvl>
    <w:lvl w:ilvl="1">
      <w:start w:val="1"/>
      <w:numFmt w:val="decimal"/>
      <w:lvlText w:val="%1.%2"/>
      <w:lvlJc w:val="left"/>
      <w:pPr>
        <w:ind w:left="390" w:hanging="39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7" w15:restartNumberingAfterBreak="0">
    <w:nsid w:val="160578F5"/>
    <w:multiLevelType w:val="multilevel"/>
    <w:tmpl w:val="8F70620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6520C4D"/>
    <w:multiLevelType w:val="multilevel"/>
    <w:tmpl w:val="8F70620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2832F34"/>
    <w:multiLevelType w:val="multilevel"/>
    <w:tmpl w:val="32F40504"/>
    <w:lvl w:ilvl="0">
      <w:start w:val="1"/>
      <w:numFmt w:val="decimal"/>
      <w:pStyle w:val="Overskrift2"/>
      <w:lvlText w:val="%1."/>
      <w:lvlJc w:val="left"/>
      <w:pPr>
        <w:ind w:left="360" w:hanging="360"/>
      </w:p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7714F48"/>
    <w:multiLevelType w:val="multilevel"/>
    <w:tmpl w:val="8F70620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CF279E9"/>
    <w:multiLevelType w:val="multilevel"/>
    <w:tmpl w:val="6520E3C6"/>
    <w:lvl w:ilvl="0">
      <w:start w:val="10"/>
      <w:numFmt w:val="decimal"/>
      <w:lvlText w:val="%1"/>
      <w:lvlJc w:val="left"/>
      <w:pPr>
        <w:ind w:left="390" w:hanging="390"/>
      </w:pPr>
      <w:rPr>
        <w:rFonts w:hint="default"/>
        <w:u w:val="single"/>
      </w:rPr>
    </w:lvl>
    <w:lvl w:ilvl="1">
      <w:start w:val="1"/>
      <w:numFmt w:val="decimal"/>
      <w:lvlText w:val="%1.%2"/>
      <w:lvlJc w:val="left"/>
      <w:pPr>
        <w:ind w:left="957" w:hanging="390"/>
      </w:pPr>
      <w:rPr>
        <w:rFonts w:hint="default"/>
        <w:u w:val="single"/>
      </w:rPr>
    </w:lvl>
    <w:lvl w:ilvl="2">
      <w:start w:val="1"/>
      <w:numFmt w:val="decimal"/>
      <w:lvlText w:val="%1.%2.%3"/>
      <w:lvlJc w:val="left"/>
      <w:pPr>
        <w:ind w:left="1854" w:hanging="720"/>
      </w:pPr>
      <w:rPr>
        <w:rFonts w:hint="default"/>
        <w:u w:val="single"/>
      </w:rPr>
    </w:lvl>
    <w:lvl w:ilvl="3">
      <w:start w:val="1"/>
      <w:numFmt w:val="decimal"/>
      <w:lvlText w:val="%1.%2.%3.%4"/>
      <w:lvlJc w:val="left"/>
      <w:pPr>
        <w:ind w:left="2421" w:hanging="720"/>
      </w:pPr>
      <w:rPr>
        <w:rFonts w:hint="default"/>
        <w:u w:val="single"/>
      </w:rPr>
    </w:lvl>
    <w:lvl w:ilvl="4">
      <w:start w:val="1"/>
      <w:numFmt w:val="decimal"/>
      <w:lvlText w:val="%1.%2.%3.%4.%5"/>
      <w:lvlJc w:val="left"/>
      <w:pPr>
        <w:ind w:left="3348" w:hanging="1080"/>
      </w:pPr>
      <w:rPr>
        <w:rFonts w:hint="default"/>
        <w:u w:val="single"/>
      </w:rPr>
    </w:lvl>
    <w:lvl w:ilvl="5">
      <w:start w:val="1"/>
      <w:numFmt w:val="decimal"/>
      <w:lvlText w:val="%1.%2.%3.%4.%5.%6"/>
      <w:lvlJc w:val="left"/>
      <w:pPr>
        <w:ind w:left="3915" w:hanging="1080"/>
      </w:pPr>
      <w:rPr>
        <w:rFonts w:hint="default"/>
        <w:u w:val="single"/>
      </w:rPr>
    </w:lvl>
    <w:lvl w:ilvl="6">
      <w:start w:val="1"/>
      <w:numFmt w:val="decimal"/>
      <w:lvlText w:val="%1.%2.%3.%4.%5.%6.%7"/>
      <w:lvlJc w:val="left"/>
      <w:pPr>
        <w:ind w:left="4842" w:hanging="1440"/>
      </w:pPr>
      <w:rPr>
        <w:rFonts w:hint="default"/>
        <w:u w:val="single"/>
      </w:rPr>
    </w:lvl>
    <w:lvl w:ilvl="7">
      <w:start w:val="1"/>
      <w:numFmt w:val="decimal"/>
      <w:lvlText w:val="%1.%2.%3.%4.%5.%6.%7.%8"/>
      <w:lvlJc w:val="left"/>
      <w:pPr>
        <w:ind w:left="5409" w:hanging="1440"/>
      </w:pPr>
      <w:rPr>
        <w:rFonts w:hint="default"/>
        <w:u w:val="single"/>
      </w:rPr>
    </w:lvl>
    <w:lvl w:ilvl="8">
      <w:start w:val="1"/>
      <w:numFmt w:val="decimal"/>
      <w:lvlText w:val="%1.%2.%3.%4.%5.%6.%7.%8.%9"/>
      <w:lvlJc w:val="left"/>
      <w:pPr>
        <w:ind w:left="5976" w:hanging="1440"/>
      </w:pPr>
      <w:rPr>
        <w:rFonts w:hint="default"/>
        <w:u w:val="single"/>
      </w:rPr>
    </w:lvl>
  </w:abstractNum>
  <w:abstractNum w:abstractNumId="12" w15:restartNumberingAfterBreak="0">
    <w:nsid w:val="35776586"/>
    <w:multiLevelType w:val="multilevel"/>
    <w:tmpl w:val="57FE44B4"/>
    <w:lvl w:ilvl="0">
      <w:start w:val="10"/>
      <w:numFmt w:val="decimal"/>
      <w:lvlText w:val="%1"/>
      <w:lvlJc w:val="left"/>
      <w:pPr>
        <w:ind w:left="390" w:hanging="390"/>
      </w:pPr>
      <w:rPr>
        <w:rFonts w:hint="default"/>
        <w:u w:val="single"/>
      </w:rPr>
    </w:lvl>
    <w:lvl w:ilvl="1">
      <w:start w:val="1"/>
      <w:numFmt w:val="decimal"/>
      <w:lvlText w:val="%1.%2"/>
      <w:lvlJc w:val="left"/>
      <w:pPr>
        <w:ind w:left="390" w:hanging="39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13" w15:restartNumberingAfterBreak="0">
    <w:nsid w:val="402D3E0F"/>
    <w:multiLevelType w:val="multilevel"/>
    <w:tmpl w:val="F1828F4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90B5327"/>
    <w:multiLevelType w:val="hybridMultilevel"/>
    <w:tmpl w:val="73203704"/>
    <w:lvl w:ilvl="0" w:tplc="8B3ADA32">
      <w:start w:val="1"/>
      <w:numFmt w:val="upperLetter"/>
      <w:lvlText w:val="(%1)"/>
      <w:lvlJc w:val="left"/>
      <w:pPr>
        <w:ind w:left="785"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67C24D05"/>
    <w:multiLevelType w:val="multilevel"/>
    <w:tmpl w:val="8F70620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BDC1D87"/>
    <w:multiLevelType w:val="hybridMultilevel"/>
    <w:tmpl w:val="B99E5100"/>
    <w:lvl w:ilvl="0" w:tplc="FFFFFFFF">
      <w:start w:val="1"/>
      <w:numFmt w:val="lowerLetter"/>
      <w:lvlText w:val="%1)"/>
      <w:lvlJc w:val="left"/>
      <w:pPr>
        <w:ind w:left="930" w:hanging="360"/>
      </w:pPr>
      <w:rPr>
        <w:rFonts w:hint="default"/>
      </w:rPr>
    </w:lvl>
    <w:lvl w:ilvl="1" w:tplc="FFFFFFFF" w:tentative="1">
      <w:start w:val="1"/>
      <w:numFmt w:val="lowerLetter"/>
      <w:lvlText w:val="%2."/>
      <w:lvlJc w:val="left"/>
      <w:pPr>
        <w:ind w:left="1650" w:hanging="360"/>
      </w:pPr>
    </w:lvl>
    <w:lvl w:ilvl="2" w:tplc="FFFFFFFF" w:tentative="1">
      <w:start w:val="1"/>
      <w:numFmt w:val="lowerRoman"/>
      <w:lvlText w:val="%3."/>
      <w:lvlJc w:val="right"/>
      <w:pPr>
        <w:ind w:left="2370" w:hanging="180"/>
      </w:pPr>
    </w:lvl>
    <w:lvl w:ilvl="3" w:tplc="FFFFFFFF" w:tentative="1">
      <w:start w:val="1"/>
      <w:numFmt w:val="decimal"/>
      <w:lvlText w:val="%4."/>
      <w:lvlJc w:val="left"/>
      <w:pPr>
        <w:ind w:left="3090" w:hanging="360"/>
      </w:pPr>
    </w:lvl>
    <w:lvl w:ilvl="4" w:tplc="FFFFFFFF" w:tentative="1">
      <w:start w:val="1"/>
      <w:numFmt w:val="lowerLetter"/>
      <w:lvlText w:val="%5."/>
      <w:lvlJc w:val="left"/>
      <w:pPr>
        <w:ind w:left="3810" w:hanging="360"/>
      </w:pPr>
    </w:lvl>
    <w:lvl w:ilvl="5" w:tplc="FFFFFFFF" w:tentative="1">
      <w:start w:val="1"/>
      <w:numFmt w:val="lowerRoman"/>
      <w:lvlText w:val="%6."/>
      <w:lvlJc w:val="right"/>
      <w:pPr>
        <w:ind w:left="4530" w:hanging="180"/>
      </w:pPr>
    </w:lvl>
    <w:lvl w:ilvl="6" w:tplc="FFFFFFFF" w:tentative="1">
      <w:start w:val="1"/>
      <w:numFmt w:val="decimal"/>
      <w:lvlText w:val="%7."/>
      <w:lvlJc w:val="left"/>
      <w:pPr>
        <w:ind w:left="5250" w:hanging="360"/>
      </w:pPr>
    </w:lvl>
    <w:lvl w:ilvl="7" w:tplc="FFFFFFFF" w:tentative="1">
      <w:start w:val="1"/>
      <w:numFmt w:val="lowerLetter"/>
      <w:lvlText w:val="%8."/>
      <w:lvlJc w:val="left"/>
      <w:pPr>
        <w:ind w:left="5970" w:hanging="360"/>
      </w:pPr>
    </w:lvl>
    <w:lvl w:ilvl="8" w:tplc="FFFFFFFF" w:tentative="1">
      <w:start w:val="1"/>
      <w:numFmt w:val="lowerRoman"/>
      <w:lvlText w:val="%9."/>
      <w:lvlJc w:val="right"/>
      <w:pPr>
        <w:ind w:left="6690" w:hanging="180"/>
      </w:pPr>
    </w:lvl>
  </w:abstractNum>
  <w:abstractNum w:abstractNumId="17" w15:restartNumberingAfterBreak="0">
    <w:nsid w:val="7AB964EC"/>
    <w:multiLevelType w:val="hybridMultilevel"/>
    <w:tmpl w:val="B99E5100"/>
    <w:lvl w:ilvl="0" w:tplc="FFFFFFFF">
      <w:start w:val="1"/>
      <w:numFmt w:val="lowerLetter"/>
      <w:lvlText w:val="%1)"/>
      <w:lvlJc w:val="left"/>
      <w:pPr>
        <w:ind w:left="930" w:hanging="360"/>
      </w:pPr>
      <w:rPr>
        <w:rFonts w:hint="default"/>
      </w:rPr>
    </w:lvl>
    <w:lvl w:ilvl="1" w:tplc="FFFFFFFF" w:tentative="1">
      <w:start w:val="1"/>
      <w:numFmt w:val="lowerLetter"/>
      <w:lvlText w:val="%2."/>
      <w:lvlJc w:val="left"/>
      <w:pPr>
        <w:ind w:left="1650" w:hanging="360"/>
      </w:pPr>
    </w:lvl>
    <w:lvl w:ilvl="2" w:tplc="FFFFFFFF" w:tentative="1">
      <w:start w:val="1"/>
      <w:numFmt w:val="lowerRoman"/>
      <w:lvlText w:val="%3."/>
      <w:lvlJc w:val="right"/>
      <w:pPr>
        <w:ind w:left="2370" w:hanging="180"/>
      </w:pPr>
    </w:lvl>
    <w:lvl w:ilvl="3" w:tplc="FFFFFFFF" w:tentative="1">
      <w:start w:val="1"/>
      <w:numFmt w:val="decimal"/>
      <w:lvlText w:val="%4."/>
      <w:lvlJc w:val="left"/>
      <w:pPr>
        <w:ind w:left="3090" w:hanging="360"/>
      </w:pPr>
    </w:lvl>
    <w:lvl w:ilvl="4" w:tplc="FFFFFFFF" w:tentative="1">
      <w:start w:val="1"/>
      <w:numFmt w:val="lowerLetter"/>
      <w:lvlText w:val="%5."/>
      <w:lvlJc w:val="left"/>
      <w:pPr>
        <w:ind w:left="3810" w:hanging="360"/>
      </w:pPr>
    </w:lvl>
    <w:lvl w:ilvl="5" w:tplc="FFFFFFFF" w:tentative="1">
      <w:start w:val="1"/>
      <w:numFmt w:val="lowerRoman"/>
      <w:lvlText w:val="%6."/>
      <w:lvlJc w:val="right"/>
      <w:pPr>
        <w:ind w:left="4530" w:hanging="180"/>
      </w:pPr>
    </w:lvl>
    <w:lvl w:ilvl="6" w:tplc="FFFFFFFF" w:tentative="1">
      <w:start w:val="1"/>
      <w:numFmt w:val="decimal"/>
      <w:lvlText w:val="%7."/>
      <w:lvlJc w:val="left"/>
      <w:pPr>
        <w:ind w:left="5250" w:hanging="360"/>
      </w:pPr>
    </w:lvl>
    <w:lvl w:ilvl="7" w:tplc="FFFFFFFF" w:tentative="1">
      <w:start w:val="1"/>
      <w:numFmt w:val="lowerLetter"/>
      <w:lvlText w:val="%8."/>
      <w:lvlJc w:val="left"/>
      <w:pPr>
        <w:ind w:left="5970" w:hanging="360"/>
      </w:pPr>
    </w:lvl>
    <w:lvl w:ilvl="8" w:tplc="FFFFFFFF" w:tentative="1">
      <w:start w:val="1"/>
      <w:numFmt w:val="lowerRoman"/>
      <w:lvlText w:val="%9."/>
      <w:lvlJc w:val="right"/>
      <w:pPr>
        <w:ind w:left="6690" w:hanging="180"/>
      </w:pPr>
    </w:lvl>
  </w:abstractNum>
  <w:num w:numId="1" w16cid:durableId="59062412">
    <w:abstractNumId w:val="4"/>
  </w:num>
  <w:num w:numId="2" w16cid:durableId="632445460">
    <w:abstractNumId w:val="3"/>
  </w:num>
  <w:num w:numId="3" w16cid:durableId="1458985402">
    <w:abstractNumId w:val="14"/>
  </w:num>
  <w:num w:numId="4" w16cid:durableId="1092507016">
    <w:abstractNumId w:val="9"/>
  </w:num>
  <w:num w:numId="5" w16cid:durableId="1330670687">
    <w:abstractNumId w:val="2"/>
  </w:num>
  <w:num w:numId="6" w16cid:durableId="233515790">
    <w:abstractNumId w:val="17"/>
  </w:num>
  <w:num w:numId="7" w16cid:durableId="67464676">
    <w:abstractNumId w:val="16"/>
  </w:num>
  <w:num w:numId="8" w16cid:durableId="1323317371">
    <w:abstractNumId w:val="5"/>
  </w:num>
  <w:num w:numId="9" w16cid:durableId="240257549">
    <w:abstractNumId w:val="6"/>
  </w:num>
  <w:num w:numId="10" w16cid:durableId="1599364096">
    <w:abstractNumId w:val="11"/>
  </w:num>
  <w:num w:numId="11" w16cid:durableId="1727214342">
    <w:abstractNumId w:val="12"/>
  </w:num>
  <w:num w:numId="12" w16cid:durableId="735595175">
    <w:abstractNumId w:val="9"/>
  </w:num>
  <w:num w:numId="13" w16cid:durableId="1565409726">
    <w:abstractNumId w:val="1"/>
  </w:num>
  <w:num w:numId="14" w16cid:durableId="210268260">
    <w:abstractNumId w:val="0"/>
  </w:num>
  <w:num w:numId="15" w16cid:durableId="1161391291">
    <w:abstractNumId w:val="8"/>
  </w:num>
  <w:num w:numId="16" w16cid:durableId="1166436531">
    <w:abstractNumId w:val="15"/>
  </w:num>
  <w:num w:numId="17" w16cid:durableId="401948499">
    <w:abstractNumId w:val="10"/>
  </w:num>
  <w:num w:numId="18" w16cid:durableId="134295772">
    <w:abstractNumId w:val="13"/>
  </w:num>
  <w:num w:numId="19" w16cid:durableId="2866187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46E"/>
    <w:rsid w:val="0000184E"/>
    <w:rsid w:val="00011195"/>
    <w:rsid w:val="00020FF9"/>
    <w:rsid w:val="000238A4"/>
    <w:rsid w:val="00023F0F"/>
    <w:rsid w:val="00043C8C"/>
    <w:rsid w:val="00052918"/>
    <w:rsid w:val="000563EB"/>
    <w:rsid w:val="00057848"/>
    <w:rsid w:val="00067169"/>
    <w:rsid w:val="00087C63"/>
    <w:rsid w:val="000A2427"/>
    <w:rsid w:val="000A6ABD"/>
    <w:rsid w:val="000A7837"/>
    <w:rsid w:val="000C02E7"/>
    <w:rsid w:val="000D2C68"/>
    <w:rsid w:val="000D7CFD"/>
    <w:rsid w:val="000E497C"/>
    <w:rsid w:val="000E7DE4"/>
    <w:rsid w:val="000F083A"/>
    <w:rsid w:val="000F5902"/>
    <w:rsid w:val="000F6737"/>
    <w:rsid w:val="00100627"/>
    <w:rsid w:val="00104D46"/>
    <w:rsid w:val="0011145A"/>
    <w:rsid w:val="001155C6"/>
    <w:rsid w:val="00151B3A"/>
    <w:rsid w:val="001674CE"/>
    <w:rsid w:val="001A1816"/>
    <w:rsid w:val="001A77A1"/>
    <w:rsid w:val="001B68FC"/>
    <w:rsid w:val="001B76E5"/>
    <w:rsid w:val="001B7F36"/>
    <w:rsid w:val="001C0502"/>
    <w:rsid w:val="001C0EC4"/>
    <w:rsid w:val="001C64E6"/>
    <w:rsid w:val="001D0E0E"/>
    <w:rsid w:val="001D7CA0"/>
    <w:rsid w:val="001E40AE"/>
    <w:rsid w:val="00207354"/>
    <w:rsid w:val="00214CD9"/>
    <w:rsid w:val="002226F5"/>
    <w:rsid w:val="00246DCD"/>
    <w:rsid w:val="00254994"/>
    <w:rsid w:val="00277E70"/>
    <w:rsid w:val="002834AC"/>
    <w:rsid w:val="002973BD"/>
    <w:rsid w:val="002A2096"/>
    <w:rsid w:val="002D561E"/>
    <w:rsid w:val="002D6EE6"/>
    <w:rsid w:val="002E026F"/>
    <w:rsid w:val="00321A42"/>
    <w:rsid w:val="00323A2A"/>
    <w:rsid w:val="00342A1D"/>
    <w:rsid w:val="00350707"/>
    <w:rsid w:val="00356B2C"/>
    <w:rsid w:val="00357128"/>
    <w:rsid w:val="00395611"/>
    <w:rsid w:val="003A0684"/>
    <w:rsid w:val="003A6040"/>
    <w:rsid w:val="003A6CF1"/>
    <w:rsid w:val="003C6138"/>
    <w:rsid w:val="003D2849"/>
    <w:rsid w:val="004075FA"/>
    <w:rsid w:val="00413131"/>
    <w:rsid w:val="00430E2D"/>
    <w:rsid w:val="00464574"/>
    <w:rsid w:val="00480491"/>
    <w:rsid w:val="00486BD6"/>
    <w:rsid w:val="00491455"/>
    <w:rsid w:val="004959A7"/>
    <w:rsid w:val="004C2798"/>
    <w:rsid w:val="004C335E"/>
    <w:rsid w:val="004C47F3"/>
    <w:rsid w:val="004E40E2"/>
    <w:rsid w:val="004E6AE8"/>
    <w:rsid w:val="004F5EA7"/>
    <w:rsid w:val="00516B6E"/>
    <w:rsid w:val="00516D7D"/>
    <w:rsid w:val="0052288A"/>
    <w:rsid w:val="005518C8"/>
    <w:rsid w:val="005629F7"/>
    <w:rsid w:val="00574852"/>
    <w:rsid w:val="00594E07"/>
    <w:rsid w:val="005A7402"/>
    <w:rsid w:val="005B2473"/>
    <w:rsid w:val="005B427A"/>
    <w:rsid w:val="005C69C9"/>
    <w:rsid w:val="005D3E12"/>
    <w:rsid w:val="005D7A7A"/>
    <w:rsid w:val="005E2C06"/>
    <w:rsid w:val="005F19F2"/>
    <w:rsid w:val="0061584F"/>
    <w:rsid w:val="00642260"/>
    <w:rsid w:val="006557AB"/>
    <w:rsid w:val="006602C1"/>
    <w:rsid w:val="0066776A"/>
    <w:rsid w:val="006747C5"/>
    <w:rsid w:val="00691AFB"/>
    <w:rsid w:val="006A0EB8"/>
    <w:rsid w:val="006B11E3"/>
    <w:rsid w:val="006B2BC0"/>
    <w:rsid w:val="006C0E27"/>
    <w:rsid w:val="006E6BCC"/>
    <w:rsid w:val="006E7DFB"/>
    <w:rsid w:val="00711336"/>
    <w:rsid w:val="00714201"/>
    <w:rsid w:val="00715FC6"/>
    <w:rsid w:val="00716931"/>
    <w:rsid w:val="0073300F"/>
    <w:rsid w:val="007372EE"/>
    <w:rsid w:val="00742D0C"/>
    <w:rsid w:val="00744D97"/>
    <w:rsid w:val="00750F07"/>
    <w:rsid w:val="00753E54"/>
    <w:rsid w:val="007570C9"/>
    <w:rsid w:val="00764ABF"/>
    <w:rsid w:val="00772174"/>
    <w:rsid w:val="00781BDD"/>
    <w:rsid w:val="007A1ED8"/>
    <w:rsid w:val="007B5636"/>
    <w:rsid w:val="007C5968"/>
    <w:rsid w:val="007C7545"/>
    <w:rsid w:val="007E13C2"/>
    <w:rsid w:val="007E1F2F"/>
    <w:rsid w:val="007E52CE"/>
    <w:rsid w:val="007E6EC4"/>
    <w:rsid w:val="00806A06"/>
    <w:rsid w:val="00827A22"/>
    <w:rsid w:val="00845C1D"/>
    <w:rsid w:val="0084623F"/>
    <w:rsid w:val="00866DFB"/>
    <w:rsid w:val="008733B3"/>
    <w:rsid w:val="00882BCC"/>
    <w:rsid w:val="008901A1"/>
    <w:rsid w:val="00895523"/>
    <w:rsid w:val="008A7A6E"/>
    <w:rsid w:val="008B6061"/>
    <w:rsid w:val="008D0725"/>
    <w:rsid w:val="008D0BE1"/>
    <w:rsid w:val="008E7400"/>
    <w:rsid w:val="00901153"/>
    <w:rsid w:val="00905AB5"/>
    <w:rsid w:val="00920C80"/>
    <w:rsid w:val="009211F6"/>
    <w:rsid w:val="0092590D"/>
    <w:rsid w:val="00932974"/>
    <w:rsid w:val="0093367A"/>
    <w:rsid w:val="00941B4A"/>
    <w:rsid w:val="0099040F"/>
    <w:rsid w:val="00992294"/>
    <w:rsid w:val="009A0A22"/>
    <w:rsid w:val="009A56D5"/>
    <w:rsid w:val="009C64E0"/>
    <w:rsid w:val="009E16F8"/>
    <w:rsid w:val="009E1EA3"/>
    <w:rsid w:val="009F23F3"/>
    <w:rsid w:val="009F3CB2"/>
    <w:rsid w:val="009F68F0"/>
    <w:rsid w:val="009F7F7D"/>
    <w:rsid w:val="00A00C1D"/>
    <w:rsid w:val="00A01E1E"/>
    <w:rsid w:val="00A1511A"/>
    <w:rsid w:val="00A411E0"/>
    <w:rsid w:val="00A43FE6"/>
    <w:rsid w:val="00A52E6A"/>
    <w:rsid w:val="00A71BCD"/>
    <w:rsid w:val="00A77EE1"/>
    <w:rsid w:val="00A80A52"/>
    <w:rsid w:val="00A84472"/>
    <w:rsid w:val="00A855C5"/>
    <w:rsid w:val="00A87941"/>
    <w:rsid w:val="00A92A8E"/>
    <w:rsid w:val="00AA6528"/>
    <w:rsid w:val="00AB2623"/>
    <w:rsid w:val="00AF115D"/>
    <w:rsid w:val="00AF4AEE"/>
    <w:rsid w:val="00B002D6"/>
    <w:rsid w:val="00B057A5"/>
    <w:rsid w:val="00B07D5D"/>
    <w:rsid w:val="00B11A48"/>
    <w:rsid w:val="00B1339E"/>
    <w:rsid w:val="00B82258"/>
    <w:rsid w:val="00BA29C4"/>
    <w:rsid w:val="00BA759B"/>
    <w:rsid w:val="00BB1DE2"/>
    <w:rsid w:val="00BB3A77"/>
    <w:rsid w:val="00BB3DBD"/>
    <w:rsid w:val="00BB5C0B"/>
    <w:rsid w:val="00BD78F6"/>
    <w:rsid w:val="00BF3179"/>
    <w:rsid w:val="00C11091"/>
    <w:rsid w:val="00C13083"/>
    <w:rsid w:val="00C1389B"/>
    <w:rsid w:val="00C20551"/>
    <w:rsid w:val="00C81AE9"/>
    <w:rsid w:val="00C82ED8"/>
    <w:rsid w:val="00C848CE"/>
    <w:rsid w:val="00C8772A"/>
    <w:rsid w:val="00C95C70"/>
    <w:rsid w:val="00C95D0B"/>
    <w:rsid w:val="00CB1EA2"/>
    <w:rsid w:val="00CC58C0"/>
    <w:rsid w:val="00CC76A5"/>
    <w:rsid w:val="00CD2171"/>
    <w:rsid w:val="00CD42BD"/>
    <w:rsid w:val="00CD69F6"/>
    <w:rsid w:val="00CF096A"/>
    <w:rsid w:val="00CF17AD"/>
    <w:rsid w:val="00D0496C"/>
    <w:rsid w:val="00D21F5A"/>
    <w:rsid w:val="00D3087B"/>
    <w:rsid w:val="00D3146E"/>
    <w:rsid w:val="00D57044"/>
    <w:rsid w:val="00D6193E"/>
    <w:rsid w:val="00D65BED"/>
    <w:rsid w:val="00D6734B"/>
    <w:rsid w:val="00D93D06"/>
    <w:rsid w:val="00DA1A49"/>
    <w:rsid w:val="00DB25E3"/>
    <w:rsid w:val="00DB2A2E"/>
    <w:rsid w:val="00DB613D"/>
    <w:rsid w:val="00DF2575"/>
    <w:rsid w:val="00DF4831"/>
    <w:rsid w:val="00DF4BF5"/>
    <w:rsid w:val="00E23B4F"/>
    <w:rsid w:val="00E3521A"/>
    <w:rsid w:val="00E40802"/>
    <w:rsid w:val="00E4733A"/>
    <w:rsid w:val="00E83944"/>
    <w:rsid w:val="00E84BAF"/>
    <w:rsid w:val="00E967C2"/>
    <w:rsid w:val="00EB4C40"/>
    <w:rsid w:val="00EC2CD5"/>
    <w:rsid w:val="00EC3B3C"/>
    <w:rsid w:val="00ED0AE9"/>
    <w:rsid w:val="00ED6C93"/>
    <w:rsid w:val="00ED719C"/>
    <w:rsid w:val="00EE22CC"/>
    <w:rsid w:val="00EE436B"/>
    <w:rsid w:val="00EE706F"/>
    <w:rsid w:val="00EF4A84"/>
    <w:rsid w:val="00F0639F"/>
    <w:rsid w:val="00F2796B"/>
    <w:rsid w:val="00F31436"/>
    <w:rsid w:val="00F325FB"/>
    <w:rsid w:val="00F41280"/>
    <w:rsid w:val="00F5096B"/>
    <w:rsid w:val="00F56F05"/>
    <w:rsid w:val="00F72DEE"/>
    <w:rsid w:val="00F77D71"/>
    <w:rsid w:val="00F809FC"/>
    <w:rsid w:val="00F81BA0"/>
    <w:rsid w:val="00F92767"/>
    <w:rsid w:val="00FA1E41"/>
    <w:rsid w:val="00FC2AD4"/>
    <w:rsid w:val="00FD78F8"/>
    <w:rsid w:val="00FE6E2D"/>
    <w:rsid w:val="00FF0714"/>
    <w:rsid w:val="00FF46BD"/>
    <w:rsid w:val="018A0D7F"/>
    <w:rsid w:val="018CE254"/>
    <w:rsid w:val="01FB5C4D"/>
    <w:rsid w:val="029B639F"/>
    <w:rsid w:val="0435E2A8"/>
    <w:rsid w:val="058BE139"/>
    <w:rsid w:val="0696AB27"/>
    <w:rsid w:val="094D5FB4"/>
    <w:rsid w:val="0C530C9C"/>
    <w:rsid w:val="0CD23016"/>
    <w:rsid w:val="0E57A2E8"/>
    <w:rsid w:val="1077F5D9"/>
    <w:rsid w:val="116FF3D7"/>
    <w:rsid w:val="1209F531"/>
    <w:rsid w:val="12DD5D49"/>
    <w:rsid w:val="12EC235B"/>
    <w:rsid w:val="1428D5D6"/>
    <w:rsid w:val="1499F26D"/>
    <w:rsid w:val="14C14365"/>
    <w:rsid w:val="15E55545"/>
    <w:rsid w:val="167BB138"/>
    <w:rsid w:val="17991559"/>
    <w:rsid w:val="17DFBA9D"/>
    <w:rsid w:val="19B5B038"/>
    <w:rsid w:val="1AA0940D"/>
    <w:rsid w:val="1B5522C0"/>
    <w:rsid w:val="1C3999EF"/>
    <w:rsid w:val="1DF8EDE4"/>
    <w:rsid w:val="1F22191A"/>
    <w:rsid w:val="21EAC83A"/>
    <w:rsid w:val="24025934"/>
    <w:rsid w:val="246F955A"/>
    <w:rsid w:val="24F209A0"/>
    <w:rsid w:val="2558AB14"/>
    <w:rsid w:val="261964FE"/>
    <w:rsid w:val="268CD8CE"/>
    <w:rsid w:val="2704A470"/>
    <w:rsid w:val="27953984"/>
    <w:rsid w:val="2A1A7998"/>
    <w:rsid w:val="2B7F307A"/>
    <w:rsid w:val="2BF7080A"/>
    <w:rsid w:val="2DF686CF"/>
    <w:rsid w:val="2EFD23DA"/>
    <w:rsid w:val="2F5E045C"/>
    <w:rsid w:val="3144D5CD"/>
    <w:rsid w:val="31961386"/>
    <w:rsid w:val="33DA0457"/>
    <w:rsid w:val="3481ECE9"/>
    <w:rsid w:val="3603D682"/>
    <w:rsid w:val="37E58805"/>
    <w:rsid w:val="39554A35"/>
    <w:rsid w:val="39911801"/>
    <w:rsid w:val="3A6771DE"/>
    <w:rsid w:val="3BFA0A05"/>
    <w:rsid w:val="3D736C20"/>
    <w:rsid w:val="3E7F5323"/>
    <w:rsid w:val="3F4B8F59"/>
    <w:rsid w:val="408A574A"/>
    <w:rsid w:val="40C2FA66"/>
    <w:rsid w:val="42DC9067"/>
    <w:rsid w:val="42DCFCA5"/>
    <w:rsid w:val="4584299C"/>
    <w:rsid w:val="46345AA4"/>
    <w:rsid w:val="46403600"/>
    <w:rsid w:val="48BE179A"/>
    <w:rsid w:val="49D9EDC6"/>
    <w:rsid w:val="4A13D439"/>
    <w:rsid w:val="4B6D8B6C"/>
    <w:rsid w:val="4BE82F34"/>
    <w:rsid w:val="5058436F"/>
    <w:rsid w:val="50B154BF"/>
    <w:rsid w:val="533F9BB5"/>
    <w:rsid w:val="53E6B00F"/>
    <w:rsid w:val="548ACBAC"/>
    <w:rsid w:val="54DD46EB"/>
    <w:rsid w:val="552171AA"/>
    <w:rsid w:val="55E38182"/>
    <w:rsid w:val="5661F9B6"/>
    <w:rsid w:val="568BF08C"/>
    <w:rsid w:val="5A899F34"/>
    <w:rsid w:val="5AA75F43"/>
    <w:rsid w:val="5BCEC9B9"/>
    <w:rsid w:val="5BD8C16A"/>
    <w:rsid w:val="5E2DB184"/>
    <w:rsid w:val="5EB553AB"/>
    <w:rsid w:val="5F43ADF1"/>
    <w:rsid w:val="60EFCA8D"/>
    <w:rsid w:val="637455A4"/>
    <w:rsid w:val="6480B130"/>
    <w:rsid w:val="648C9931"/>
    <w:rsid w:val="65F54C3D"/>
    <w:rsid w:val="6638C476"/>
    <w:rsid w:val="68A2AB00"/>
    <w:rsid w:val="6B65F39B"/>
    <w:rsid w:val="6C8A3A64"/>
    <w:rsid w:val="6D42CF0C"/>
    <w:rsid w:val="6F91E6A4"/>
    <w:rsid w:val="70C666AF"/>
    <w:rsid w:val="71D6A572"/>
    <w:rsid w:val="73343EE3"/>
    <w:rsid w:val="7465B293"/>
    <w:rsid w:val="749B37FE"/>
    <w:rsid w:val="754DB08E"/>
    <w:rsid w:val="75A6C762"/>
    <w:rsid w:val="75B7D7AA"/>
    <w:rsid w:val="7712130C"/>
    <w:rsid w:val="77B3BDEB"/>
    <w:rsid w:val="79BA4C4B"/>
    <w:rsid w:val="7A757488"/>
    <w:rsid w:val="7CF548A9"/>
    <w:rsid w:val="7EF48BED"/>
    <w:rsid w:val="7F938632"/>
  </w:rsids>
  <m:mathPr>
    <m:mathFont m:val="Cambria Math"/>
    <m:brkBin m:val="before"/>
    <m:brkBinSub m:val="--"/>
    <m:smallFrac m:val="0"/>
    <m:dispDef/>
    <m:lMargin m:val="0"/>
    <m:rMargin m:val="0"/>
    <m:defJc m:val="centerGroup"/>
    <m:wrapIndent m:val="1440"/>
    <m:intLim m:val="subSup"/>
    <m:naryLim m:val="undOvr"/>
  </m:mathPr>
  <w:themeFontLang w:val="nb-NO"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C6923"/>
  <w15:chartTrackingRefBased/>
  <w15:docId w15:val="{667E21D7-5B77-4221-BD40-9EC374EA1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F46B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ED719C"/>
    <w:pPr>
      <w:keepNext/>
      <w:keepLines/>
      <w:numPr>
        <w:numId w:val="4"/>
      </w:numPr>
      <w:spacing w:before="40" w:after="120"/>
      <w:outlineLvl w:val="1"/>
    </w:pPr>
    <w:rPr>
      <w:rFonts w:eastAsiaTheme="majorEastAsia" w:cstheme="majorBidi"/>
      <w:b/>
      <w:caps/>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uiPriority w:val="1"/>
    <w:qFormat/>
    <w:rsid w:val="00100627"/>
    <w:pPr>
      <w:spacing w:after="0" w:line="240" w:lineRule="auto"/>
    </w:pPr>
  </w:style>
  <w:style w:type="paragraph" w:styleId="Listeavsnitt">
    <w:name w:val="List Paragraph"/>
    <w:basedOn w:val="Normal"/>
    <w:uiPriority w:val="34"/>
    <w:qFormat/>
    <w:rsid w:val="00100627"/>
    <w:pPr>
      <w:ind w:left="720"/>
      <w:contextualSpacing/>
    </w:pPr>
  </w:style>
  <w:style w:type="paragraph" w:styleId="Sluttnotetekst">
    <w:name w:val="endnote text"/>
    <w:basedOn w:val="Normal"/>
    <w:link w:val="SluttnotetekstTegn"/>
    <w:uiPriority w:val="99"/>
    <w:semiHidden/>
    <w:unhideWhenUsed/>
    <w:rsid w:val="00D93D06"/>
    <w:pPr>
      <w:spacing w:after="0" w:line="240" w:lineRule="auto"/>
    </w:pPr>
    <w:rPr>
      <w:sz w:val="20"/>
      <w:szCs w:val="20"/>
    </w:rPr>
  </w:style>
  <w:style w:type="character" w:customStyle="1" w:styleId="SluttnotetekstTegn">
    <w:name w:val="Sluttnotetekst Tegn"/>
    <w:basedOn w:val="Standardskriftforavsnitt"/>
    <w:link w:val="Sluttnotetekst"/>
    <w:uiPriority w:val="99"/>
    <w:semiHidden/>
    <w:rsid w:val="00D93D06"/>
    <w:rPr>
      <w:sz w:val="20"/>
      <w:szCs w:val="20"/>
    </w:rPr>
  </w:style>
  <w:style w:type="character" w:styleId="Sluttnotereferanse">
    <w:name w:val="endnote reference"/>
    <w:basedOn w:val="Standardskriftforavsnitt"/>
    <w:uiPriority w:val="99"/>
    <w:semiHidden/>
    <w:unhideWhenUsed/>
    <w:rsid w:val="00D93D06"/>
    <w:rPr>
      <w:vertAlign w:val="superscript"/>
    </w:rPr>
  </w:style>
  <w:style w:type="character" w:customStyle="1" w:styleId="Overskrift2Tegn">
    <w:name w:val="Overskrift 2 Tegn"/>
    <w:basedOn w:val="Standardskriftforavsnitt"/>
    <w:link w:val="Overskrift2"/>
    <w:uiPriority w:val="9"/>
    <w:rsid w:val="00ED719C"/>
    <w:rPr>
      <w:rFonts w:eastAsiaTheme="majorEastAsia" w:cstheme="majorBidi"/>
      <w:b/>
      <w:caps/>
      <w:szCs w:val="26"/>
    </w:rPr>
  </w:style>
  <w:style w:type="paragraph" w:styleId="Topptekst">
    <w:name w:val="header"/>
    <w:basedOn w:val="Normal"/>
    <w:link w:val="TopptekstTegn"/>
    <w:uiPriority w:val="99"/>
    <w:unhideWhenUsed/>
    <w:rsid w:val="00430E2D"/>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430E2D"/>
  </w:style>
  <w:style w:type="paragraph" w:styleId="Bunntekst">
    <w:name w:val="footer"/>
    <w:basedOn w:val="Normal"/>
    <w:link w:val="BunntekstTegn"/>
    <w:uiPriority w:val="99"/>
    <w:unhideWhenUsed/>
    <w:rsid w:val="00430E2D"/>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430E2D"/>
  </w:style>
  <w:style w:type="table" w:styleId="Tabellrutenett">
    <w:name w:val="Table Grid"/>
    <w:basedOn w:val="Vanligtabell"/>
    <w:uiPriority w:val="39"/>
    <w:rsid w:val="00B07D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erknadstekst">
    <w:name w:val="annotation text"/>
    <w:basedOn w:val="Normal"/>
    <w:link w:val="MerknadstekstTegn"/>
    <w:uiPriority w:val="99"/>
    <w:unhideWhenUsed/>
    <w:pPr>
      <w:spacing w:line="240" w:lineRule="auto"/>
    </w:pPr>
    <w:rPr>
      <w:sz w:val="20"/>
      <w:szCs w:val="20"/>
    </w:rPr>
  </w:style>
  <w:style w:type="character" w:customStyle="1" w:styleId="MerknadstekstTegn">
    <w:name w:val="Merknadstekst Tegn"/>
    <w:basedOn w:val="Standardskriftforavsnitt"/>
    <w:link w:val="Merknadstekst"/>
    <w:uiPriority w:val="99"/>
    <w:rPr>
      <w:sz w:val="20"/>
      <w:szCs w:val="20"/>
    </w:rPr>
  </w:style>
  <w:style w:type="character" w:styleId="Merknadsreferanse">
    <w:name w:val="annotation reference"/>
    <w:basedOn w:val="Standardskriftforavsnitt"/>
    <w:uiPriority w:val="99"/>
    <w:semiHidden/>
    <w:unhideWhenUsed/>
    <w:rPr>
      <w:sz w:val="16"/>
      <w:szCs w:val="16"/>
    </w:rPr>
  </w:style>
  <w:style w:type="paragraph" w:styleId="Revisjon">
    <w:name w:val="Revision"/>
    <w:hidden/>
    <w:uiPriority w:val="99"/>
    <w:semiHidden/>
    <w:rsid w:val="00A71BCD"/>
    <w:pPr>
      <w:spacing w:after="0" w:line="240" w:lineRule="auto"/>
    </w:pPr>
  </w:style>
  <w:style w:type="paragraph" w:styleId="Kommentaremne">
    <w:name w:val="annotation subject"/>
    <w:basedOn w:val="Merknadstekst"/>
    <w:next w:val="Merknadstekst"/>
    <w:link w:val="KommentaremneTegn"/>
    <w:uiPriority w:val="99"/>
    <w:semiHidden/>
    <w:unhideWhenUsed/>
    <w:rsid w:val="00A71BCD"/>
    <w:rPr>
      <w:b/>
      <w:bCs/>
    </w:rPr>
  </w:style>
  <w:style w:type="character" w:customStyle="1" w:styleId="KommentaremneTegn">
    <w:name w:val="Kommentaremne Tegn"/>
    <w:basedOn w:val="MerknadstekstTegn"/>
    <w:link w:val="Kommentaremne"/>
    <w:uiPriority w:val="99"/>
    <w:semiHidden/>
    <w:rsid w:val="00A71BCD"/>
    <w:rPr>
      <w:b/>
      <w:bCs/>
      <w:sz w:val="20"/>
      <w:szCs w:val="20"/>
    </w:rPr>
  </w:style>
  <w:style w:type="paragraph" w:styleId="Fotnotetekst">
    <w:name w:val="footnote text"/>
    <w:basedOn w:val="Normal"/>
    <w:link w:val="FotnotetekstTegn"/>
    <w:uiPriority w:val="99"/>
    <w:semiHidden/>
    <w:unhideWhenUsed/>
    <w:rsid w:val="00CD42BD"/>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CD42BD"/>
    <w:rPr>
      <w:sz w:val="20"/>
      <w:szCs w:val="20"/>
    </w:rPr>
  </w:style>
  <w:style w:type="character" w:styleId="Fotnotereferanse">
    <w:name w:val="footnote reference"/>
    <w:basedOn w:val="Standardskriftforavsnitt"/>
    <w:uiPriority w:val="99"/>
    <w:semiHidden/>
    <w:unhideWhenUsed/>
    <w:rsid w:val="00CD42BD"/>
    <w:rPr>
      <w:vertAlign w:val="superscript"/>
    </w:rPr>
  </w:style>
  <w:style w:type="character" w:customStyle="1" w:styleId="Overskrift1Tegn">
    <w:name w:val="Overskrift 1 Tegn"/>
    <w:basedOn w:val="Standardskriftforavsnitt"/>
    <w:link w:val="Overskrift1"/>
    <w:uiPriority w:val="9"/>
    <w:rsid w:val="00FF46BD"/>
    <w:rPr>
      <w:rFonts w:asciiTheme="majorHAnsi" w:eastAsiaTheme="majorEastAsia" w:hAnsiTheme="majorHAnsi" w:cstheme="majorBidi"/>
      <w:color w:val="2F5496" w:themeColor="accent1" w:themeShade="BF"/>
      <w:sz w:val="32"/>
      <w:szCs w:val="32"/>
    </w:rPr>
  </w:style>
  <w:style w:type="paragraph" w:customStyle="1" w:styleId="pf0">
    <w:name w:val="pf0"/>
    <w:basedOn w:val="Normal"/>
    <w:rsid w:val="00FF46BD"/>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cf11">
    <w:name w:val="cf11"/>
    <w:basedOn w:val="Standardskriftforavsnitt"/>
    <w:rsid w:val="00FF46BD"/>
    <w:rPr>
      <w:rFonts w:ascii="Segoe UI" w:hAnsi="Segoe UI" w:cs="Segoe UI" w:hint="default"/>
      <w:sz w:val="18"/>
      <w:szCs w:val="18"/>
    </w:rPr>
  </w:style>
  <w:style w:type="character" w:customStyle="1" w:styleId="cf01">
    <w:name w:val="cf01"/>
    <w:basedOn w:val="Standardskriftforavsnitt"/>
    <w:rsid w:val="00D65BE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1f01fec-5dc5-45f7-80d9-75c23bf6e60c" xsi:nil="true"/>
    <lcf76f155ced4ddcb4097134ff3c332f xmlns="5c0b7025-e8cc-4030-9b17-214ed6f44e1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FDEA0BD14BA8E429AD96E80D4FD6C14" ma:contentTypeVersion="17" ma:contentTypeDescription="Opprett et nytt dokument." ma:contentTypeScope="" ma:versionID="df41c9f7c93fb1c1e21f147d347fd68e">
  <xsd:schema xmlns:xsd="http://www.w3.org/2001/XMLSchema" xmlns:xs="http://www.w3.org/2001/XMLSchema" xmlns:p="http://schemas.microsoft.com/office/2006/metadata/properties" xmlns:ns2="5c0b7025-e8cc-4030-9b17-214ed6f44e1d" xmlns:ns3="71f01fec-5dc5-45f7-80d9-75c23bf6e60c" targetNamespace="http://schemas.microsoft.com/office/2006/metadata/properties" ma:root="true" ma:fieldsID="b9ce22d805aa70a36e018047ac95c3ee" ns2:_="" ns3:_="">
    <xsd:import namespace="5c0b7025-e8cc-4030-9b17-214ed6f44e1d"/>
    <xsd:import namespace="71f01fec-5dc5-45f7-80d9-75c23bf6e6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0b7025-e8cc-4030-9b17-214ed6f44e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3ad65ae6-7bc3-4af9-bbdb-8126d62d3c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f01fec-5dc5-45f7-80d9-75c23bf6e60c" elementFormDefault="qualified">
    <xsd:import namespace="http://schemas.microsoft.com/office/2006/documentManagement/types"/>
    <xsd:import namespace="http://schemas.microsoft.com/office/infopath/2007/PartnerControls"/>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ingsdetaljer" ma:internalName="SharedWithDetails" ma:readOnly="true">
      <xsd:simpleType>
        <xsd:restriction base="dms:Note">
          <xsd:maxLength value="255"/>
        </xsd:restriction>
      </xsd:simpleType>
    </xsd:element>
    <xsd:element name="TaxCatchAll" ma:index="22" nillable="true" ma:displayName="Global taksonomikolonne" ma:hidden="true" ma:list="{61ef8a05-5d46-4d67-ad43-95a4fe798a0c}" ma:internalName="TaxCatchAll" ma:showField="CatchAllData" ma:web="71f01fec-5dc5-45f7-80d9-75c23bf6e6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9A4A3B-1968-4636-A5AC-54BBE389DBA3}">
  <ds:schemaRefs>
    <ds:schemaRef ds:uri="http://schemas.openxmlformats.org/officeDocument/2006/bibliography"/>
  </ds:schemaRefs>
</ds:datastoreItem>
</file>

<file path=customXml/itemProps2.xml><?xml version="1.0" encoding="utf-8"?>
<ds:datastoreItem xmlns:ds="http://schemas.openxmlformats.org/officeDocument/2006/customXml" ds:itemID="{46A4BC31-2DC6-4675-B1D5-3240E8E2A23A}">
  <ds:schemaRefs>
    <ds:schemaRef ds:uri="http://schemas.microsoft.com/office/2006/metadata/properties"/>
    <ds:schemaRef ds:uri="http://schemas.microsoft.com/office/infopath/2007/PartnerControls"/>
    <ds:schemaRef ds:uri="71f01fec-5dc5-45f7-80d9-75c23bf6e60c"/>
    <ds:schemaRef ds:uri="5c0b7025-e8cc-4030-9b17-214ed6f44e1d"/>
  </ds:schemaRefs>
</ds:datastoreItem>
</file>

<file path=customXml/itemProps3.xml><?xml version="1.0" encoding="utf-8"?>
<ds:datastoreItem xmlns:ds="http://schemas.openxmlformats.org/officeDocument/2006/customXml" ds:itemID="{C6DBA678-9568-4707-B011-6FFC8421E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0b7025-e8cc-4030-9b17-214ed6f44e1d"/>
    <ds:schemaRef ds:uri="71f01fec-5dc5-45f7-80d9-75c23bf6e6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56A5B2-7441-4E28-8991-B62BAD6E04FE}">
  <ds:schemaRefs>
    <ds:schemaRef ds:uri="http://schemas.microsoft.com/sharepoint/v3/contenttype/forms"/>
  </ds:schemaRefs>
</ds:datastoreItem>
</file>

<file path=docMetadata/LabelInfo.xml><?xml version="1.0" encoding="utf-8"?>
<clbl:labelList xmlns:clbl="http://schemas.microsoft.com/office/2020/mipLabelMetadata">
  <clbl:label id="{ffcdfac2-430b-48d8-b537-ec930f3dd155}" enabled="1" method="Privileged" siteId="{9a8ff9e3-0e35-4620-a724-e9834dc50b51}" contentBits="0" removed="0"/>
</clbl:labelList>
</file>

<file path=docProps/app.xml><?xml version="1.0" encoding="utf-8"?>
<Properties xmlns="http://schemas.openxmlformats.org/officeDocument/2006/extended-properties" xmlns:vt="http://schemas.openxmlformats.org/officeDocument/2006/docPropsVTypes">
  <Template>Normal</Template>
  <TotalTime>12</TotalTime>
  <Pages>7</Pages>
  <Words>2926</Words>
  <Characters>15510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Halfdan Holte</dc:creator>
  <cp:keywords/>
  <dc:description/>
  <cp:lastModifiedBy>Angela Nygaard</cp:lastModifiedBy>
  <cp:revision>9</cp:revision>
  <cp:lastPrinted>2025-12-17T08:35:00Z</cp:lastPrinted>
  <dcterms:created xsi:type="dcterms:W3CDTF">2026-01-06T09:01:00Z</dcterms:created>
  <dcterms:modified xsi:type="dcterms:W3CDTF">2026-01-06T09:34:00Z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fa49fc2-bce2-4ce0-b4a2-b3fd715bd349_Enabled">
    <vt:lpwstr>true</vt:lpwstr>
  </property>
  <property fmtid="{D5CDD505-2E9C-101B-9397-08002B2CF9AE}" pid="3" name="MSIP_Label_afa49fc2-bce2-4ce0-b4a2-b3fd715bd349_SetDate">
    <vt:lpwstr>2023-08-09T13:17:15Z</vt:lpwstr>
  </property>
  <property fmtid="{D5CDD505-2E9C-101B-9397-08002B2CF9AE}" pid="4" name="MSIP_Label_afa49fc2-bce2-4ce0-b4a2-b3fd715bd349_Method">
    <vt:lpwstr>Privileged</vt:lpwstr>
  </property>
  <property fmtid="{D5CDD505-2E9C-101B-9397-08002B2CF9AE}" pid="5" name="MSIP_Label_afa49fc2-bce2-4ce0-b4a2-b3fd715bd349_Name">
    <vt:lpwstr>Open</vt:lpwstr>
  </property>
  <property fmtid="{D5CDD505-2E9C-101B-9397-08002B2CF9AE}" pid="6" name="MSIP_Label_afa49fc2-bce2-4ce0-b4a2-b3fd715bd349_SiteId">
    <vt:lpwstr>10b30f00-1bbd-4041-9c4d-64749f4a7041</vt:lpwstr>
  </property>
  <property fmtid="{D5CDD505-2E9C-101B-9397-08002B2CF9AE}" pid="7" name="MSIP_Label_afa49fc2-bce2-4ce0-b4a2-b3fd715bd349_ActionId">
    <vt:lpwstr>99cf4017-0823-4d69-825d-c0a6d25abe9a</vt:lpwstr>
  </property>
  <property fmtid="{D5CDD505-2E9C-101B-9397-08002B2CF9AE}" pid="8" name="MSIP_Label_afa49fc2-bce2-4ce0-b4a2-b3fd715bd349_ContentBits">
    <vt:lpwstr>0</vt:lpwstr>
  </property>
  <property fmtid="{D5CDD505-2E9C-101B-9397-08002B2CF9AE}" pid="9" name="ContentTypeId">
    <vt:lpwstr>0x0101009FDEA0BD14BA8E429AD96E80D4FD6C14</vt:lpwstr>
  </property>
  <property fmtid="{D5CDD505-2E9C-101B-9397-08002B2CF9AE}" pid="10" name="MediaServiceImageTags">
    <vt:lpwstr/>
  </property>
  <property fmtid="{D5CDD505-2E9C-101B-9397-08002B2CF9AE}" pid="11" name="MSIP_Label_b41c0bc7-c6be-49cd-a7d8-05e4908a7b56_Enabled">
    <vt:lpwstr>true</vt:lpwstr>
  </property>
  <property fmtid="{D5CDD505-2E9C-101B-9397-08002B2CF9AE}" pid="12" name="MSIP_Label_b41c0bc7-c6be-49cd-a7d8-05e4908a7b56_SetDate">
    <vt:lpwstr>2025-11-11T08:53:11Z</vt:lpwstr>
  </property>
  <property fmtid="{D5CDD505-2E9C-101B-9397-08002B2CF9AE}" pid="13" name="MSIP_Label_b41c0bc7-c6be-49cd-a7d8-05e4908a7b56_Method">
    <vt:lpwstr>Privileged</vt:lpwstr>
  </property>
  <property fmtid="{D5CDD505-2E9C-101B-9397-08002B2CF9AE}" pid="14" name="MSIP_Label_b41c0bc7-c6be-49cd-a7d8-05e4908a7b56_Name">
    <vt:lpwstr>Internal</vt:lpwstr>
  </property>
  <property fmtid="{D5CDD505-2E9C-101B-9397-08002B2CF9AE}" pid="15" name="MSIP_Label_b41c0bc7-c6be-49cd-a7d8-05e4908a7b56_SiteId">
    <vt:lpwstr>4cbfea0a-b872-47f0-b51c-1c64953c3f0b</vt:lpwstr>
  </property>
  <property fmtid="{D5CDD505-2E9C-101B-9397-08002B2CF9AE}" pid="16" name="MSIP_Label_b41c0bc7-c6be-49cd-a7d8-05e4908a7b56_ActionId">
    <vt:lpwstr>5f4a77cd-e543-4964-9e06-5399c60feac8</vt:lpwstr>
  </property>
  <property fmtid="{D5CDD505-2E9C-101B-9397-08002B2CF9AE}" pid="17" name="MSIP_Label_b41c0bc7-c6be-49cd-a7d8-05e4908a7b56_ContentBits">
    <vt:lpwstr>0</vt:lpwstr>
  </property>
  <property fmtid="{D5CDD505-2E9C-101B-9397-08002B2CF9AE}" pid="18" name="MSIP_Label_b41c0bc7-c6be-49cd-a7d8-05e4908a7b56_Tag">
    <vt:lpwstr>10, 0, 1, 1</vt:lpwstr>
  </property>
  <property fmtid="{D5CDD505-2E9C-101B-9397-08002B2CF9AE}" pid="19" name="MSIP_Label_5ec17ee5-d002-416f-a486-c5f1fad2d957_Enabled">
    <vt:lpwstr>true</vt:lpwstr>
  </property>
  <property fmtid="{D5CDD505-2E9C-101B-9397-08002B2CF9AE}" pid="20" name="MSIP_Label_5ec17ee5-d002-416f-a486-c5f1fad2d957_SetDate">
    <vt:lpwstr>2025-11-21T10:13:42Z</vt:lpwstr>
  </property>
  <property fmtid="{D5CDD505-2E9C-101B-9397-08002B2CF9AE}" pid="21" name="MSIP_Label_5ec17ee5-d002-416f-a486-c5f1fad2d957_Method">
    <vt:lpwstr>Privileged</vt:lpwstr>
  </property>
  <property fmtid="{D5CDD505-2E9C-101B-9397-08002B2CF9AE}" pid="22" name="MSIP_Label_5ec17ee5-d002-416f-a486-c5f1fad2d957_Name">
    <vt:lpwstr>Open</vt:lpwstr>
  </property>
  <property fmtid="{D5CDD505-2E9C-101B-9397-08002B2CF9AE}" pid="23" name="MSIP_Label_5ec17ee5-d002-416f-a486-c5f1fad2d957_SiteId">
    <vt:lpwstr>8beccd60-0be6-4025-8e24-ca9ae679e1f4</vt:lpwstr>
  </property>
  <property fmtid="{D5CDD505-2E9C-101B-9397-08002B2CF9AE}" pid="24" name="MSIP_Label_5ec17ee5-d002-416f-a486-c5f1fad2d957_ActionId">
    <vt:lpwstr>e851ac1c-ad0b-402b-b048-4d034010bcf9</vt:lpwstr>
  </property>
  <property fmtid="{D5CDD505-2E9C-101B-9397-08002B2CF9AE}" pid="25" name="MSIP_Label_5ec17ee5-d002-416f-a486-c5f1fad2d957_ContentBits">
    <vt:lpwstr>0</vt:lpwstr>
  </property>
  <property fmtid="{D5CDD505-2E9C-101B-9397-08002B2CF9AE}" pid="26" name="MSIP_Label_5ec17ee5-d002-416f-a486-c5f1fad2d957_Tag">
    <vt:lpwstr>10, 0, 1, 1</vt:lpwstr>
  </property>
</Properties>
</file>