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EA1D8" w14:textId="789CAD55" w:rsidR="0096351E" w:rsidRDefault="0096351E">
      <w:pPr>
        <w:rPr>
          <w:i/>
          <w:iCs/>
          <w:sz w:val="18"/>
          <w:szCs w:val="18"/>
        </w:rPr>
      </w:pPr>
      <w:r>
        <w:tab/>
      </w:r>
      <w:r>
        <w:tab/>
      </w:r>
    </w:p>
    <w:p w14:paraId="29237E9D" w14:textId="77777777" w:rsidR="006D374F" w:rsidRPr="006D374F" w:rsidRDefault="006D374F">
      <w:pPr>
        <w:rPr>
          <w:i/>
          <w:iCs/>
          <w:sz w:val="18"/>
          <w:szCs w:val="18"/>
        </w:rPr>
      </w:pPr>
    </w:p>
    <w:tbl>
      <w:tblPr>
        <w:tblW w:w="9071" w:type="dxa"/>
        <w:tblInd w:w="2" w:type="dxa"/>
        <w:tblLayout w:type="fixed"/>
        <w:tblCellMar>
          <w:left w:w="0" w:type="dxa"/>
        </w:tblCellMar>
        <w:tblLook w:val="0000" w:firstRow="0" w:lastRow="0" w:firstColumn="0" w:lastColumn="0" w:noHBand="0" w:noVBand="0"/>
      </w:tblPr>
      <w:tblGrid>
        <w:gridCol w:w="6606"/>
        <w:gridCol w:w="2465"/>
      </w:tblGrid>
      <w:tr w:rsidR="0067756D" w:rsidRPr="00873D3F" w14:paraId="6727F9D3" w14:textId="77777777">
        <w:tc>
          <w:tcPr>
            <w:tcW w:w="6606" w:type="dxa"/>
            <w:vAlign w:val="bottom"/>
          </w:tcPr>
          <w:p w14:paraId="51BD07C7" w14:textId="77777777" w:rsidR="0067756D" w:rsidRPr="00873D3F" w:rsidRDefault="00780D78">
            <w:pPr>
              <w:pStyle w:val="zDocType"/>
              <w:spacing w:after="0"/>
              <w:rPr>
                <w:rFonts w:ascii="Verdana" w:hAnsi="Verdana"/>
                <w:sz w:val="18"/>
                <w:szCs w:val="18"/>
              </w:rPr>
            </w:pPr>
            <w:bookmarkStart w:id="0" w:name="bmkFirmLogo"/>
            <w:bookmarkStart w:id="1" w:name="bmkLALogo" w:colFirst="1" w:colLast="1"/>
            <w:r>
              <w:rPr>
                <w:rFonts w:ascii="Verdana" w:hAnsi="Verdana"/>
                <w:sz w:val="18"/>
                <w:szCs w:val="18"/>
              </w:rPr>
              <w:t>Guidelines</w:t>
            </w:r>
          </w:p>
        </w:tc>
        <w:tc>
          <w:tcPr>
            <w:tcW w:w="2465" w:type="dxa"/>
            <w:vAlign w:val="bottom"/>
          </w:tcPr>
          <w:p w14:paraId="5BE046B7" w14:textId="77777777" w:rsidR="0067756D" w:rsidRPr="00873D3F" w:rsidRDefault="0067756D">
            <w:pPr>
              <w:pStyle w:val="zDate"/>
              <w:spacing w:after="0"/>
              <w:rPr>
                <w:rFonts w:ascii="Verdana" w:hAnsi="Verdana"/>
                <w:sz w:val="18"/>
                <w:szCs w:val="18"/>
              </w:rPr>
            </w:pPr>
          </w:p>
          <w:p w14:paraId="4605CA20" w14:textId="77777777" w:rsidR="0067756D" w:rsidRPr="00873D3F" w:rsidRDefault="0067756D">
            <w:pPr>
              <w:pStyle w:val="zDate"/>
              <w:spacing w:after="0"/>
              <w:rPr>
                <w:rFonts w:ascii="Verdana" w:hAnsi="Verdana"/>
                <w:sz w:val="18"/>
                <w:szCs w:val="18"/>
              </w:rPr>
            </w:pPr>
          </w:p>
        </w:tc>
      </w:tr>
      <w:tr w:rsidR="0067756D" w:rsidRPr="00873D3F" w14:paraId="029E5406" w14:textId="77777777">
        <w:tc>
          <w:tcPr>
            <w:tcW w:w="6606" w:type="dxa"/>
            <w:vAlign w:val="bottom"/>
          </w:tcPr>
          <w:p w14:paraId="03A80972" w14:textId="77777777" w:rsidR="0067756D" w:rsidRPr="00873D3F" w:rsidRDefault="0067756D">
            <w:pPr>
              <w:pStyle w:val="zDocType"/>
              <w:spacing w:after="0"/>
              <w:rPr>
                <w:rFonts w:ascii="Verdana" w:hAnsi="Verdana"/>
                <w:sz w:val="18"/>
                <w:szCs w:val="18"/>
              </w:rPr>
            </w:pPr>
          </w:p>
        </w:tc>
        <w:tc>
          <w:tcPr>
            <w:tcW w:w="2465" w:type="dxa"/>
            <w:vAlign w:val="bottom"/>
          </w:tcPr>
          <w:p w14:paraId="607EFC34" w14:textId="77777777" w:rsidR="0067756D" w:rsidRPr="00873D3F" w:rsidRDefault="0067756D">
            <w:pPr>
              <w:pStyle w:val="zDate"/>
              <w:spacing w:after="0"/>
              <w:rPr>
                <w:rFonts w:ascii="Verdana" w:hAnsi="Verdana"/>
                <w:sz w:val="18"/>
                <w:szCs w:val="18"/>
              </w:rPr>
            </w:pPr>
            <w:r w:rsidRPr="00873D3F">
              <w:rPr>
                <w:rFonts w:ascii="Verdana" w:hAnsi="Verdana"/>
                <w:sz w:val="18"/>
                <w:szCs w:val="18"/>
              </w:rPr>
              <w:t>[</w:t>
            </w:r>
            <w:r w:rsidRPr="00873D3F">
              <w:rPr>
                <w:rFonts w:ascii="Verdana" w:hAnsi="Verdana" w:cs="Arial"/>
                <w:sz w:val="18"/>
                <w:szCs w:val="18"/>
              </w:rPr>
              <w:t>DATE</w:t>
            </w:r>
            <w:r w:rsidRPr="00873D3F">
              <w:rPr>
                <w:rFonts w:ascii="Verdana" w:hAnsi="Verdana"/>
                <w:sz w:val="18"/>
                <w:szCs w:val="18"/>
              </w:rPr>
              <w:t>]</w:t>
            </w:r>
          </w:p>
        </w:tc>
      </w:tr>
    </w:tbl>
    <w:p w14:paraId="0F0A2AB2" w14:textId="77777777" w:rsidR="0067756D" w:rsidRPr="00873D3F" w:rsidRDefault="0067756D">
      <w:pPr>
        <w:rPr>
          <w:rFonts w:ascii="Verdana" w:hAnsi="Verdana"/>
          <w:sz w:val="18"/>
          <w:szCs w:val="18"/>
        </w:rPr>
      </w:pPr>
    </w:p>
    <w:p w14:paraId="1414B135" w14:textId="77777777" w:rsidR="0067756D" w:rsidRPr="00873D3F" w:rsidRDefault="0067756D">
      <w:pPr>
        <w:rPr>
          <w:rFonts w:ascii="Verdana" w:hAnsi="Verdana"/>
          <w:sz w:val="18"/>
          <w:szCs w:val="18"/>
        </w:rPr>
      </w:pPr>
    </w:p>
    <w:p w14:paraId="78DEEDC1" w14:textId="77777777" w:rsidR="0067756D" w:rsidRPr="00873D3F" w:rsidRDefault="0067756D">
      <w:pPr>
        <w:rPr>
          <w:rFonts w:ascii="Verdana" w:hAnsi="Verdana"/>
          <w:sz w:val="18"/>
          <w:szCs w:val="18"/>
        </w:rPr>
      </w:pPr>
    </w:p>
    <w:tbl>
      <w:tblPr>
        <w:tblW w:w="0" w:type="auto"/>
        <w:tblInd w:w="8" w:type="dxa"/>
        <w:tblLayout w:type="fixed"/>
        <w:tblCellMar>
          <w:left w:w="0" w:type="dxa"/>
        </w:tblCellMar>
        <w:tblLook w:val="0000" w:firstRow="0" w:lastRow="0" w:firstColumn="0" w:lastColumn="0" w:noHBand="0" w:noVBand="0"/>
      </w:tblPr>
      <w:tblGrid>
        <w:gridCol w:w="1800"/>
        <w:gridCol w:w="7273"/>
      </w:tblGrid>
      <w:tr w:rsidR="0067756D" w:rsidRPr="00873D3F" w14:paraId="31B95161" w14:textId="77777777">
        <w:trPr>
          <w:cantSplit/>
          <w:trHeight w:val="300"/>
        </w:trPr>
        <w:tc>
          <w:tcPr>
            <w:tcW w:w="1800" w:type="dxa"/>
          </w:tcPr>
          <w:p w14:paraId="1B540B76" w14:textId="77777777" w:rsidR="0067756D" w:rsidRPr="00873D3F" w:rsidRDefault="0067756D">
            <w:pPr>
              <w:pStyle w:val="zFormHeaders"/>
              <w:rPr>
                <w:rFonts w:ascii="Verdana" w:hAnsi="Verdana"/>
                <w:sz w:val="18"/>
                <w:szCs w:val="18"/>
              </w:rPr>
            </w:pPr>
            <w:bookmarkStart w:id="2" w:name="bmkTo"/>
            <w:bookmarkStart w:id="3" w:name="bmkRussianTables"/>
            <w:r w:rsidRPr="00873D3F">
              <w:rPr>
                <w:rFonts w:ascii="Verdana" w:hAnsi="Verdana"/>
                <w:sz w:val="18"/>
                <w:szCs w:val="18"/>
              </w:rPr>
              <w:t>To</w:t>
            </w:r>
            <w:bookmarkEnd w:id="2"/>
          </w:p>
        </w:tc>
        <w:tc>
          <w:tcPr>
            <w:tcW w:w="7273" w:type="dxa"/>
          </w:tcPr>
          <w:p w14:paraId="02487B92" w14:textId="77777777" w:rsidR="0067756D" w:rsidRPr="00873D3F" w:rsidRDefault="0067756D">
            <w:pPr>
              <w:pStyle w:val="zFormEntries"/>
              <w:rPr>
                <w:rFonts w:ascii="Verdana" w:hAnsi="Verdana"/>
                <w:sz w:val="18"/>
                <w:szCs w:val="18"/>
              </w:rPr>
            </w:pPr>
            <w:bookmarkStart w:id="4" w:name="bmkToData"/>
            <w:r w:rsidRPr="00873D3F">
              <w:rPr>
                <w:rFonts w:ascii="Verdana" w:hAnsi="Verdana"/>
                <w:sz w:val="18"/>
                <w:szCs w:val="18"/>
              </w:rPr>
              <w:t>[</w:t>
            </w:r>
            <w:r w:rsidRPr="00873D3F">
              <w:rPr>
                <w:rFonts w:ascii="Verdana" w:hAnsi="Verdana" w:cs="Arial"/>
                <w:sz w:val="18"/>
                <w:szCs w:val="18"/>
              </w:rPr>
              <w:t>●</w:t>
            </w:r>
            <w:r w:rsidRPr="00873D3F">
              <w:rPr>
                <w:rFonts w:ascii="Verdana" w:hAnsi="Verdana"/>
                <w:sz w:val="18"/>
                <w:szCs w:val="18"/>
              </w:rPr>
              <w:t>]</w:t>
            </w:r>
            <w:bookmarkEnd w:id="4"/>
          </w:p>
        </w:tc>
      </w:tr>
    </w:tbl>
    <w:p w14:paraId="2D73B8B4" w14:textId="77777777" w:rsidR="0067756D" w:rsidRPr="00873D3F" w:rsidRDefault="0067756D">
      <w:pPr>
        <w:rPr>
          <w:rFonts w:ascii="Verdana" w:hAnsi="Verdana"/>
          <w:sz w:val="18"/>
          <w:szCs w:val="18"/>
        </w:rPr>
      </w:pPr>
      <w:bookmarkStart w:id="5" w:name="bmkccTable"/>
    </w:p>
    <w:tbl>
      <w:tblPr>
        <w:tblW w:w="0" w:type="auto"/>
        <w:tblInd w:w="8" w:type="dxa"/>
        <w:tblLayout w:type="fixed"/>
        <w:tblCellMar>
          <w:left w:w="0" w:type="dxa"/>
        </w:tblCellMar>
        <w:tblLook w:val="0000" w:firstRow="0" w:lastRow="0" w:firstColumn="0" w:lastColumn="0" w:noHBand="0" w:noVBand="0"/>
      </w:tblPr>
      <w:tblGrid>
        <w:gridCol w:w="1800"/>
        <w:gridCol w:w="7273"/>
        <w:gridCol w:w="7"/>
      </w:tblGrid>
      <w:tr w:rsidR="0067756D" w:rsidRPr="00873D3F" w14:paraId="5DEB2929" w14:textId="77777777">
        <w:trPr>
          <w:gridAfter w:val="1"/>
          <w:wAfter w:w="7" w:type="dxa"/>
          <w:cantSplit/>
          <w:trHeight w:val="119"/>
        </w:trPr>
        <w:tc>
          <w:tcPr>
            <w:tcW w:w="1800" w:type="dxa"/>
            <w:vAlign w:val="center"/>
          </w:tcPr>
          <w:p w14:paraId="4B81A04A" w14:textId="77777777" w:rsidR="0067756D" w:rsidRPr="00873D3F" w:rsidRDefault="0067756D">
            <w:pPr>
              <w:pStyle w:val="zFormEntries"/>
              <w:rPr>
                <w:rFonts w:ascii="Verdana" w:hAnsi="Verdana"/>
                <w:sz w:val="18"/>
                <w:szCs w:val="18"/>
              </w:rPr>
            </w:pPr>
          </w:p>
        </w:tc>
        <w:tc>
          <w:tcPr>
            <w:tcW w:w="7273" w:type="dxa"/>
            <w:vAlign w:val="center"/>
          </w:tcPr>
          <w:p w14:paraId="46EF1AFD" w14:textId="77777777" w:rsidR="0067756D" w:rsidRPr="00873D3F" w:rsidRDefault="0067756D">
            <w:pPr>
              <w:pStyle w:val="zFormEntries"/>
              <w:rPr>
                <w:rFonts w:ascii="Verdana" w:hAnsi="Verdana"/>
                <w:sz w:val="18"/>
                <w:szCs w:val="18"/>
              </w:rPr>
            </w:pPr>
          </w:p>
        </w:tc>
      </w:tr>
      <w:tr w:rsidR="0067756D" w:rsidRPr="00873D3F" w14:paraId="10EEA64A" w14:textId="77777777">
        <w:trPr>
          <w:cantSplit/>
          <w:trHeight w:val="300"/>
        </w:trPr>
        <w:tc>
          <w:tcPr>
            <w:tcW w:w="1800" w:type="dxa"/>
          </w:tcPr>
          <w:p w14:paraId="2196EE27" w14:textId="77777777" w:rsidR="0067756D" w:rsidRPr="00873D3F" w:rsidRDefault="00C10302">
            <w:pPr>
              <w:pStyle w:val="zFormHeaders"/>
              <w:rPr>
                <w:rFonts w:ascii="Verdana" w:hAnsi="Verdana"/>
                <w:sz w:val="18"/>
                <w:szCs w:val="18"/>
              </w:rPr>
            </w:pPr>
            <w:bookmarkStart w:id="6" w:name="bmkAddRow"/>
            <w:bookmarkStart w:id="7" w:name="bmkCC"/>
            <w:bookmarkEnd w:id="6"/>
            <w:r w:rsidRPr="00873D3F">
              <w:rPr>
                <w:rFonts w:ascii="Verdana" w:hAnsi="Verdana"/>
                <w:sz w:val="18"/>
                <w:szCs w:val="18"/>
              </w:rPr>
              <w:t>C</w:t>
            </w:r>
            <w:r w:rsidR="0067756D" w:rsidRPr="00873D3F">
              <w:rPr>
                <w:rFonts w:ascii="Verdana" w:hAnsi="Verdana"/>
                <w:sz w:val="18"/>
                <w:szCs w:val="18"/>
              </w:rPr>
              <w:t>c</w:t>
            </w:r>
            <w:bookmarkEnd w:id="7"/>
          </w:p>
        </w:tc>
        <w:tc>
          <w:tcPr>
            <w:tcW w:w="7280" w:type="dxa"/>
            <w:gridSpan w:val="2"/>
          </w:tcPr>
          <w:p w14:paraId="363B02FE" w14:textId="77777777" w:rsidR="0067756D" w:rsidRPr="00873D3F" w:rsidRDefault="0067756D">
            <w:pPr>
              <w:pStyle w:val="zFormEntries"/>
              <w:rPr>
                <w:rFonts w:ascii="Verdana" w:hAnsi="Verdana"/>
                <w:sz w:val="18"/>
                <w:szCs w:val="18"/>
              </w:rPr>
            </w:pPr>
            <w:bookmarkStart w:id="8" w:name="bmkccData"/>
            <w:r w:rsidRPr="00873D3F">
              <w:rPr>
                <w:rFonts w:ascii="Verdana" w:hAnsi="Verdana"/>
                <w:sz w:val="18"/>
                <w:szCs w:val="18"/>
              </w:rPr>
              <w:t>[</w:t>
            </w:r>
            <w:r w:rsidRPr="00873D3F">
              <w:rPr>
                <w:rFonts w:ascii="Verdana" w:hAnsi="Verdana" w:cs="Arial"/>
                <w:sz w:val="18"/>
                <w:szCs w:val="18"/>
              </w:rPr>
              <w:t>●</w:t>
            </w:r>
            <w:r w:rsidRPr="00873D3F">
              <w:rPr>
                <w:rFonts w:ascii="Verdana" w:hAnsi="Verdana"/>
                <w:sz w:val="18"/>
                <w:szCs w:val="18"/>
              </w:rPr>
              <w:t>]</w:t>
            </w:r>
            <w:bookmarkEnd w:id="8"/>
          </w:p>
        </w:tc>
      </w:tr>
      <w:bookmarkEnd w:id="5"/>
    </w:tbl>
    <w:p w14:paraId="2E6E1A75" w14:textId="77777777" w:rsidR="0067756D" w:rsidRPr="00873D3F" w:rsidRDefault="0067756D">
      <w:pPr>
        <w:rPr>
          <w:rFonts w:ascii="Verdana" w:hAnsi="Verdana"/>
          <w:sz w:val="18"/>
          <w:szCs w:val="18"/>
        </w:rPr>
      </w:pPr>
    </w:p>
    <w:tbl>
      <w:tblPr>
        <w:tblW w:w="9087" w:type="dxa"/>
        <w:tblInd w:w="8" w:type="dxa"/>
        <w:tblLayout w:type="fixed"/>
        <w:tblCellMar>
          <w:left w:w="0" w:type="dxa"/>
        </w:tblCellMar>
        <w:tblLook w:val="0000" w:firstRow="0" w:lastRow="0" w:firstColumn="0" w:lastColumn="0" w:noHBand="0" w:noVBand="0"/>
      </w:tblPr>
      <w:tblGrid>
        <w:gridCol w:w="1800"/>
        <w:gridCol w:w="7273"/>
        <w:gridCol w:w="14"/>
      </w:tblGrid>
      <w:tr w:rsidR="0067756D" w:rsidRPr="00873D3F" w14:paraId="1A992E0D" w14:textId="77777777" w:rsidTr="007422C2">
        <w:trPr>
          <w:cantSplit/>
          <w:trHeight w:hRule="exact" w:val="255"/>
        </w:trPr>
        <w:tc>
          <w:tcPr>
            <w:tcW w:w="9087" w:type="dxa"/>
            <w:gridSpan w:val="3"/>
            <w:vAlign w:val="bottom"/>
          </w:tcPr>
          <w:p w14:paraId="50F9CF79" w14:textId="77777777" w:rsidR="0067756D" w:rsidRPr="00873D3F" w:rsidRDefault="0067756D">
            <w:pPr>
              <w:pStyle w:val="zSpacerRow"/>
              <w:rPr>
                <w:rFonts w:ascii="Verdana" w:hAnsi="Verdana"/>
                <w:sz w:val="18"/>
                <w:szCs w:val="18"/>
              </w:rPr>
            </w:pPr>
            <w:bookmarkStart w:id="9" w:name="bmkSpareRow"/>
          </w:p>
        </w:tc>
      </w:tr>
      <w:tr w:rsidR="0067756D" w:rsidRPr="00873D3F" w14:paraId="08E36390" w14:textId="77777777" w:rsidTr="007422C2">
        <w:trPr>
          <w:gridAfter w:val="1"/>
          <w:wAfter w:w="14" w:type="dxa"/>
          <w:cantSplit/>
          <w:trHeight w:val="340"/>
        </w:trPr>
        <w:tc>
          <w:tcPr>
            <w:tcW w:w="1800" w:type="dxa"/>
          </w:tcPr>
          <w:p w14:paraId="01885B14" w14:textId="77777777" w:rsidR="0067756D" w:rsidRPr="00873D3F" w:rsidRDefault="0067756D">
            <w:pPr>
              <w:pStyle w:val="zFormHeaders"/>
              <w:rPr>
                <w:rFonts w:ascii="Verdana" w:hAnsi="Verdana"/>
                <w:sz w:val="18"/>
                <w:szCs w:val="18"/>
              </w:rPr>
            </w:pPr>
            <w:bookmarkStart w:id="10" w:name="bmkSenderTable"/>
            <w:bookmarkEnd w:id="9"/>
            <w:r w:rsidRPr="00873D3F">
              <w:rPr>
                <w:rFonts w:ascii="Verdana" w:hAnsi="Verdana"/>
                <w:sz w:val="18"/>
                <w:szCs w:val="18"/>
              </w:rPr>
              <w:t>From</w:t>
            </w:r>
          </w:p>
        </w:tc>
        <w:tc>
          <w:tcPr>
            <w:tcW w:w="7273" w:type="dxa"/>
          </w:tcPr>
          <w:p w14:paraId="671AC423" w14:textId="77777777" w:rsidR="0067756D" w:rsidRPr="00873D3F" w:rsidRDefault="0067756D">
            <w:pPr>
              <w:pStyle w:val="zFormEntries"/>
              <w:rPr>
                <w:rFonts w:ascii="Verdana" w:hAnsi="Verdana"/>
                <w:sz w:val="18"/>
                <w:szCs w:val="18"/>
              </w:rPr>
            </w:pPr>
            <w:bookmarkStart w:id="11" w:name="bmkFromData"/>
            <w:r w:rsidRPr="00873D3F">
              <w:rPr>
                <w:rFonts w:ascii="Verdana" w:hAnsi="Verdana"/>
                <w:sz w:val="18"/>
                <w:szCs w:val="18"/>
              </w:rPr>
              <w:t>[</w:t>
            </w:r>
            <w:r w:rsidRPr="00873D3F">
              <w:rPr>
                <w:rFonts w:ascii="Verdana" w:hAnsi="Verdana" w:cs="Arial"/>
                <w:sz w:val="18"/>
                <w:szCs w:val="18"/>
              </w:rPr>
              <w:t>●</w:t>
            </w:r>
            <w:r w:rsidRPr="00873D3F">
              <w:rPr>
                <w:rFonts w:ascii="Verdana" w:hAnsi="Verdana"/>
                <w:sz w:val="18"/>
                <w:szCs w:val="18"/>
              </w:rPr>
              <w:t>]</w:t>
            </w:r>
            <w:bookmarkEnd w:id="11"/>
          </w:p>
        </w:tc>
      </w:tr>
      <w:tr w:rsidR="0067756D" w:rsidRPr="00873D3F" w14:paraId="341021E5" w14:textId="77777777" w:rsidTr="007422C2">
        <w:trPr>
          <w:gridAfter w:val="1"/>
          <w:wAfter w:w="14" w:type="dxa"/>
          <w:cantSplit/>
          <w:trHeight w:val="284"/>
        </w:trPr>
        <w:tc>
          <w:tcPr>
            <w:tcW w:w="1800" w:type="dxa"/>
          </w:tcPr>
          <w:p w14:paraId="166F3906" w14:textId="77777777" w:rsidR="0067756D" w:rsidRPr="00873D3F" w:rsidRDefault="0067756D">
            <w:pPr>
              <w:pStyle w:val="zFormHeaders"/>
              <w:rPr>
                <w:rFonts w:ascii="Verdana" w:hAnsi="Verdana"/>
                <w:sz w:val="18"/>
                <w:szCs w:val="18"/>
              </w:rPr>
            </w:pPr>
          </w:p>
        </w:tc>
        <w:tc>
          <w:tcPr>
            <w:tcW w:w="7273" w:type="dxa"/>
          </w:tcPr>
          <w:p w14:paraId="43EB4703" w14:textId="77777777" w:rsidR="0067756D" w:rsidRPr="00873D3F" w:rsidRDefault="0067756D">
            <w:pPr>
              <w:pStyle w:val="zFormEntries"/>
              <w:rPr>
                <w:rFonts w:ascii="Verdana" w:hAnsi="Verdana"/>
                <w:sz w:val="18"/>
                <w:szCs w:val="18"/>
              </w:rPr>
            </w:pPr>
          </w:p>
        </w:tc>
      </w:tr>
      <w:bookmarkEnd w:id="3"/>
      <w:bookmarkEnd w:id="10"/>
    </w:tbl>
    <w:p w14:paraId="69F125EE" w14:textId="77777777" w:rsidR="0067756D" w:rsidRPr="00873D3F" w:rsidRDefault="0067756D">
      <w:pPr>
        <w:pStyle w:val="zSpace"/>
        <w:pBdr>
          <w:top w:val="single" w:sz="4" w:space="1" w:color="auto"/>
        </w:pBdr>
        <w:rPr>
          <w:rFonts w:ascii="Verdana" w:hAnsi="Verdana"/>
          <w:sz w:val="18"/>
          <w:szCs w:val="18"/>
        </w:rPr>
      </w:pPr>
    </w:p>
    <w:p w14:paraId="63491033" w14:textId="77777777" w:rsidR="0067756D" w:rsidRPr="00013CAD" w:rsidRDefault="0059641D">
      <w:pPr>
        <w:pStyle w:val="zSubject"/>
        <w:rPr>
          <w:rFonts w:cs="Arial"/>
          <w:sz w:val="18"/>
          <w:szCs w:val="18"/>
        </w:rPr>
      </w:pPr>
      <w:bookmarkStart w:id="12" w:name="bmkSubject"/>
      <w:r>
        <w:rPr>
          <w:rFonts w:cs="Arial"/>
          <w:sz w:val="18"/>
          <w:szCs w:val="18"/>
        </w:rPr>
        <w:t>Guidelines</w:t>
      </w:r>
      <w:r w:rsidRPr="00013CAD">
        <w:rPr>
          <w:rFonts w:cs="Arial"/>
          <w:sz w:val="18"/>
          <w:szCs w:val="18"/>
        </w:rPr>
        <w:t xml:space="preserve"> </w:t>
      </w:r>
      <w:r w:rsidR="0067756D" w:rsidRPr="00013CAD">
        <w:rPr>
          <w:rFonts w:cs="Arial"/>
          <w:sz w:val="18"/>
          <w:szCs w:val="18"/>
        </w:rPr>
        <w:t>to Distribution of Pre-IPO</w:t>
      </w:r>
      <w:r w:rsidR="001E1FA0">
        <w:rPr>
          <w:rStyle w:val="Fotnotereferanse"/>
          <w:sz w:val="18"/>
          <w:szCs w:val="18"/>
        </w:rPr>
        <w:footnoteReference w:id="1"/>
      </w:r>
      <w:r w:rsidR="0067756D" w:rsidRPr="00013CAD">
        <w:rPr>
          <w:rFonts w:cs="Arial"/>
          <w:sz w:val="18"/>
          <w:szCs w:val="18"/>
        </w:rPr>
        <w:t xml:space="preserve"> Research Reports</w:t>
      </w:r>
      <w:bookmarkEnd w:id="12"/>
    </w:p>
    <w:p w14:paraId="04FF4E38" w14:textId="77777777" w:rsidR="0067756D" w:rsidRPr="00EA4C1D" w:rsidRDefault="0067756D">
      <w:pPr>
        <w:pStyle w:val="Level1"/>
        <w:rPr>
          <w:rFonts w:cs="Arial"/>
          <w:szCs w:val="22"/>
        </w:rPr>
      </w:pPr>
      <w:bookmarkStart w:id="13" w:name="bmkLogoCaption"/>
      <w:bookmarkStart w:id="14" w:name="bmkTranslatedWords"/>
      <w:bookmarkStart w:id="15" w:name="bmkCancel"/>
      <w:bookmarkStart w:id="16" w:name="bmkHeading"/>
      <w:bookmarkStart w:id="17" w:name="_Toc260049866"/>
      <w:bookmarkStart w:id="18" w:name="_Toc292783573"/>
      <w:bookmarkEnd w:id="0"/>
      <w:bookmarkEnd w:id="1"/>
      <w:bookmarkEnd w:id="13"/>
      <w:bookmarkEnd w:id="14"/>
      <w:bookmarkEnd w:id="15"/>
      <w:bookmarkEnd w:id="16"/>
      <w:r w:rsidRPr="00EA4C1D">
        <w:rPr>
          <w:rFonts w:cs="Arial"/>
          <w:szCs w:val="22"/>
        </w:rPr>
        <w:t>Introduction</w:t>
      </w:r>
      <w:bookmarkEnd w:id="17"/>
      <w:bookmarkEnd w:id="18"/>
    </w:p>
    <w:p w14:paraId="51687E14" w14:textId="77777777" w:rsidR="00B75EFC" w:rsidRPr="00F21EDF" w:rsidRDefault="00E448D2" w:rsidP="000956FD">
      <w:pPr>
        <w:pStyle w:val="Level2"/>
        <w:tabs>
          <w:tab w:val="num" w:pos="1276"/>
        </w:tabs>
        <w:ind w:hanging="5897"/>
        <w:rPr>
          <w:b/>
        </w:rPr>
      </w:pPr>
      <w:r>
        <w:rPr>
          <w:b/>
        </w:rPr>
        <w:t>1.1</w:t>
      </w:r>
      <w:r>
        <w:rPr>
          <w:b/>
        </w:rPr>
        <w:tab/>
      </w:r>
      <w:r w:rsidR="00B75EFC" w:rsidRPr="00F21EDF">
        <w:rPr>
          <w:b/>
        </w:rPr>
        <w:t xml:space="preserve">General </w:t>
      </w:r>
    </w:p>
    <w:p w14:paraId="30B9A6E6" w14:textId="77777777" w:rsidR="0067756D" w:rsidRPr="00013CAD" w:rsidRDefault="0059641D">
      <w:pPr>
        <w:pStyle w:val="Body1"/>
        <w:rPr>
          <w:rFonts w:cs="Arial"/>
          <w:sz w:val="18"/>
          <w:szCs w:val="18"/>
        </w:rPr>
      </w:pPr>
      <w:r>
        <w:rPr>
          <w:rFonts w:cs="Arial"/>
          <w:sz w:val="18"/>
          <w:szCs w:val="18"/>
        </w:rPr>
        <w:t xml:space="preserve">The Guidelines </w:t>
      </w:r>
      <w:r w:rsidR="0067756D" w:rsidRPr="00013CAD">
        <w:rPr>
          <w:rFonts w:cs="Arial"/>
          <w:sz w:val="18"/>
          <w:szCs w:val="18"/>
        </w:rPr>
        <w:t>address the preparation and dissemination of research reports</w:t>
      </w:r>
      <w:r w:rsidR="0067756D" w:rsidRPr="00013CAD">
        <w:rPr>
          <w:rStyle w:val="Fotnotereferanse"/>
          <w:rFonts w:cs="Arial"/>
          <w:sz w:val="18"/>
          <w:szCs w:val="18"/>
        </w:rPr>
        <w:footnoteReference w:id="2"/>
      </w:r>
      <w:r w:rsidR="0067756D" w:rsidRPr="00013CAD">
        <w:rPr>
          <w:rFonts w:cs="Arial"/>
          <w:sz w:val="18"/>
          <w:szCs w:val="18"/>
        </w:rPr>
        <w:t xml:space="preserve"> concerning [Issuer] (the “</w:t>
      </w:r>
      <w:r w:rsidR="0067756D" w:rsidRPr="00013CAD">
        <w:rPr>
          <w:rFonts w:cs="Arial"/>
          <w:b/>
          <w:sz w:val="18"/>
          <w:szCs w:val="18"/>
        </w:rPr>
        <w:t>Company</w:t>
      </w:r>
      <w:r w:rsidR="0067756D" w:rsidRPr="00013CAD">
        <w:rPr>
          <w:rFonts w:cs="Arial"/>
          <w:sz w:val="18"/>
          <w:szCs w:val="18"/>
        </w:rPr>
        <w:t>”) [and its subsidiaries (together with the Company, the “</w:t>
      </w:r>
      <w:r w:rsidR="0067756D" w:rsidRPr="00013CAD">
        <w:rPr>
          <w:rFonts w:cs="Arial"/>
          <w:b/>
          <w:sz w:val="18"/>
          <w:szCs w:val="18"/>
        </w:rPr>
        <w:t>Group</w:t>
      </w:r>
      <w:r w:rsidR="0067756D" w:rsidRPr="00013CAD">
        <w:rPr>
          <w:rFonts w:cs="Arial"/>
          <w:sz w:val="18"/>
          <w:szCs w:val="18"/>
        </w:rPr>
        <w:t xml:space="preserve">”)] by </w:t>
      </w:r>
      <w:r w:rsidR="0035275F" w:rsidRPr="00013CAD">
        <w:rPr>
          <w:rFonts w:cs="Arial"/>
          <w:sz w:val="18"/>
          <w:szCs w:val="18"/>
        </w:rPr>
        <w:t>[●]</w:t>
      </w:r>
      <w:r w:rsidR="004F3114" w:rsidRPr="00013CAD">
        <w:rPr>
          <w:rFonts w:cs="Arial"/>
          <w:sz w:val="18"/>
          <w:szCs w:val="18"/>
        </w:rPr>
        <w:t>, [●]</w:t>
      </w:r>
      <w:r w:rsidR="0067756D" w:rsidRPr="00013CAD">
        <w:rPr>
          <w:rFonts w:cs="Arial"/>
          <w:sz w:val="18"/>
          <w:szCs w:val="18"/>
        </w:rPr>
        <w:t xml:space="preserve"> (collectively, the “</w:t>
      </w:r>
      <w:r w:rsidR="0067756D" w:rsidRPr="00013CAD">
        <w:rPr>
          <w:rFonts w:cs="Arial"/>
          <w:b/>
          <w:bCs/>
          <w:sz w:val="18"/>
          <w:szCs w:val="18"/>
        </w:rPr>
        <w:t>Managers</w:t>
      </w:r>
      <w:r w:rsidR="0067756D" w:rsidRPr="00013CAD">
        <w:rPr>
          <w:rFonts w:cs="Arial"/>
          <w:sz w:val="18"/>
          <w:szCs w:val="18"/>
        </w:rPr>
        <w:t>”), and Connected Analysts</w:t>
      </w:r>
      <w:r w:rsidR="0067756D" w:rsidRPr="00013CAD">
        <w:rPr>
          <w:rStyle w:val="Fotnotereferanse"/>
          <w:rFonts w:cs="Arial"/>
          <w:sz w:val="18"/>
          <w:szCs w:val="18"/>
        </w:rPr>
        <w:footnoteReference w:id="3"/>
      </w:r>
      <w:r w:rsidR="0067756D" w:rsidRPr="00013CAD">
        <w:rPr>
          <w:rFonts w:cs="Arial"/>
          <w:sz w:val="18"/>
          <w:szCs w:val="18"/>
        </w:rPr>
        <w:t xml:space="preserve"> prior to, during and after the proposed initial public offering (the “</w:t>
      </w:r>
      <w:r w:rsidR="0067756D" w:rsidRPr="00013CAD">
        <w:rPr>
          <w:rFonts w:cs="Arial"/>
          <w:b/>
          <w:sz w:val="18"/>
          <w:szCs w:val="18"/>
        </w:rPr>
        <w:t>Offering</w:t>
      </w:r>
      <w:r w:rsidR="0067756D" w:rsidRPr="00013CAD">
        <w:rPr>
          <w:rFonts w:cs="Arial"/>
          <w:sz w:val="18"/>
          <w:szCs w:val="18"/>
        </w:rPr>
        <w:t>”) by the Company of [securities] (the “</w:t>
      </w:r>
      <w:r w:rsidR="0067756D" w:rsidRPr="00013CAD">
        <w:rPr>
          <w:rFonts w:cs="Arial"/>
          <w:b/>
          <w:bCs/>
          <w:sz w:val="18"/>
          <w:szCs w:val="18"/>
        </w:rPr>
        <w:t>Securities</w:t>
      </w:r>
      <w:r w:rsidR="0067756D" w:rsidRPr="00013CAD">
        <w:rPr>
          <w:rFonts w:cs="Arial"/>
          <w:sz w:val="18"/>
          <w:szCs w:val="18"/>
        </w:rPr>
        <w:t xml:space="preserve">”). </w:t>
      </w:r>
    </w:p>
    <w:p w14:paraId="5D449307" w14:textId="77777777" w:rsidR="0067756D" w:rsidRPr="00013CAD" w:rsidRDefault="0059641D">
      <w:pPr>
        <w:pStyle w:val="Body1"/>
        <w:rPr>
          <w:rFonts w:cs="Arial"/>
          <w:sz w:val="18"/>
          <w:szCs w:val="18"/>
        </w:rPr>
      </w:pPr>
      <w:r>
        <w:rPr>
          <w:rFonts w:cs="Arial"/>
          <w:sz w:val="18"/>
          <w:szCs w:val="18"/>
        </w:rPr>
        <w:t>These guidelines</w:t>
      </w:r>
      <w:r w:rsidR="0067756D" w:rsidRPr="00013CAD">
        <w:rPr>
          <w:rFonts w:cs="Arial"/>
          <w:sz w:val="18"/>
          <w:szCs w:val="18"/>
        </w:rPr>
        <w:t xml:space="preserve"> set out the procedures that should be followed by the Managers in connection with the distribution of research reports relating to the Company [and/or the Group] regarding the Offering</w:t>
      </w:r>
      <w:r w:rsidR="587ED806" w:rsidRPr="009D41B1">
        <w:rPr>
          <w:rFonts w:cs="Arial"/>
          <w:sz w:val="18"/>
          <w:szCs w:val="18"/>
        </w:rPr>
        <w:t xml:space="preserve"> </w:t>
      </w:r>
      <w:r w:rsidR="587ED806" w:rsidRPr="638EC5F2">
        <w:rPr>
          <w:rFonts w:cs="Arial"/>
          <w:sz w:val="18"/>
          <w:szCs w:val="18"/>
        </w:rPr>
        <w:t xml:space="preserve">as well as </w:t>
      </w:r>
      <w:r w:rsidR="587ED806" w:rsidRPr="1D73EDAA">
        <w:rPr>
          <w:rFonts w:cs="Arial"/>
          <w:sz w:val="18"/>
          <w:szCs w:val="18"/>
        </w:rPr>
        <w:t>the</w:t>
      </w:r>
      <w:r w:rsidR="587ED806" w:rsidRPr="0C4AB661">
        <w:rPr>
          <w:rFonts w:cs="Arial"/>
          <w:sz w:val="18"/>
          <w:szCs w:val="18"/>
        </w:rPr>
        <w:t xml:space="preserve"> period </w:t>
      </w:r>
      <w:r w:rsidR="587ED806" w:rsidRPr="6B555F6B">
        <w:rPr>
          <w:rFonts w:cs="Arial"/>
          <w:sz w:val="18"/>
          <w:szCs w:val="18"/>
        </w:rPr>
        <w:t>during which no research reports relating to the Company [and</w:t>
      </w:r>
      <w:r w:rsidR="587ED806" w:rsidRPr="1BBCFC43">
        <w:rPr>
          <w:rFonts w:cs="Arial"/>
          <w:sz w:val="18"/>
          <w:szCs w:val="18"/>
        </w:rPr>
        <w:t>/or the Group</w:t>
      </w:r>
      <w:r w:rsidR="587ED806" w:rsidRPr="487C98C7">
        <w:rPr>
          <w:rFonts w:cs="Arial"/>
          <w:sz w:val="18"/>
          <w:szCs w:val="18"/>
        </w:rPr>
        <w:t xml:space="preserve">] </w:t>
      </w:r>
      <w:r w:rsidR="587ED806" w:rsidRPr="04E7435B">
        <w:rPr>
          <w:rFonts w:cs="Arial"/>
          <w:sz w:val="18"/>
          <w:szCs w:val="18"/>
        </w:rPr>
        <w:t>is to be issued by any of the Managers</w:t>
      </w:r>
      <w:r w:rsidR="0067756D" w:rsidRPr="0D0182BB">
        <w:rPr>
          <w:rFonts w:cs="Arial"/>
          <w:sz w:val="18"/>
          <w:szCs w:val="18"/>
        </w:rPr>
        <w:t>.</w:t>
      </w:r>
      <w:r w:rsidR="0067756D" w:rsidRPr="00013CAD">
        <w:rPr>
          <w:rFonts w:cs="Arial"/>
          <w:sz w:val="18"/>
          <w:szCs w:val="18"/>
        </w:rPr>
        <w:t xml:space="preserve"> Failure to follow the procedures may result in Managers being removed from the syndicate, in addition to other sanctions, risks and liabilities</w:t>
      </w:r>
      <w:r w:rsidR="00CE1FE8">
        <w:rPr>
          <w:rFonts w:cs="Arial"/>
          <w:sz w:val="18"/>
          <w:szCs w:val="18"/>
        </w:rPr>
        <w:t xml:space="preserve"> for such non-compliant Manager(s)</w:t>
      </w:r>
      <w:r w:rsidR="0067756D" w:rsidRPr="00013CAD">
        <w:rPr>
          <w:rFonts w:cs="Arial"/>
          <w:sz w:val="18"/>
          <w:szCs w:val="18"/>
        </w:rPr>
        <w:t>.</w:t>
      </w:r>
    </w:p>
    <w:p w14:paraId="2AC96CB4" w14:textId="77777777" w:rsidR="0067756D" w:rsidRDefault="0067756D">
      <w:pPr>
        <w:pStyle w:val="Body1"/>
        <w:rPr>
          <w:rFonts w:cs="Arial"/>
          <w:sz w:val="18"/>
          <w:szCs w:val="18"/>
        </w:rPr>
      </w:pPr>
      <w:r w:rsidRPr="00013CAD">
        <w:rPr>
          <w:rFonts w:cs="Arial"/>
          <w:sz w:val="18"/>
          <w:szCs w:val="18"/>
        </w:rPr>
        <w:t xml:space="preserve">Legal restrictions applicable to the distribution of research reports in other jurisdictions </w:t>
      </w:r>
      <w:r w:rsidR="002A3F24">
        <w:rPr>
          <w:rFonts w:cs="Arial"/>
          <w:sz w:val="18"/>
          <w:szCs w:val="18"/>
        </w:rPr>
        <w:t>than those mentioned herein</w:t>
      </w:r>
      <w:r w:rsidR="00E8279A">
        <w:rPr>
          <w:rFonts w:cs="Arial"/>
          <w:sz w:val="18"/>
          <w:szCs w:val="18"/>
        </w:rPr>
        <w:t xml:space="preserve"> </w:t>
      </w:r>
      <w:r w:rsidRPr="00013CAD">
        <w:rPr>
          <w:rFonts w:cs="Arial"/>
          <w:sz w:val="18"/>
          <w:szCs w:val="18"/>
        </w:rPr>
        <w:t>are not covered by th</w:t>
      </w:r>
      <w:r w:rsidR="00E95A81">
        <w:rPr>
          <w:rFonts w:cs="Arial"/>
          <w:sz w:val="18"/>
          <w:szCs w:val="18"/>
        </w:rPr>
        <w:t>ese guidelines</w:t>
      </w:r>
      <w:r w:rsidRPr="00013CAD">
        <w:rPr>
          <w:rFonts w:cs="Arial"/>
          <w:sz w:val="18"/>
          <w:szCs w:val="18"/>
        </w:rPr>
        <w:t>.</w:t>
      </w:r>
    </w:p>
    <w:p w14:paraId="0C5C0438" w14:textId="77777777" w:rsidR="00B75EFC" w:rsidRDefault="00B75EFC" w:rsidP="00B75EFC">
      <w:pPr>
        <w:pStyle w:val="Body1"/>
        <w:rPr>
          <w:rFonts w:cs="Arial"/>
          <w:sz w:val="18"/>
          <w:szCs w:val="18"/>
        </w:rPr>
      </w:pPr>
      <w:r w:rsidRPr="00013CAD">
        <w:rPr>
          <w:rFonts w:cs="Arial"/>
          <w:sz w:val="18"/>
          <w:szCs w:val="18"/>
        </w:rPr>
        <w:t>It is assumed that the Offering will consist of (i) an offer and sale of Securities outside the United States in reliance on Regulation S (“</w:t>
      </w:r>
      <w:r w:rsidRPr="00013CAD">
        <w:rPr>
          <w:rFonts w:cs="Arial"/>
          <w:b/>
          <w:bCs/>
          <w:sz w:val="18"/>
          <w:szCs w:val="18"/>
        </w:rPr>
        <w:t>Regulation S</w:t>
      </w:r>
      <w:r w:rsidRPr="00013CAD">
        <w:rPr>
          <w:rFonts w:cs="Arial"/>
          <w:sz w:val="18"/>
          <w:szCs w:val="18"/>
        </w:rPr>
        <w:t>”) under the US Securities Act of 1933 (the “</w:t>
      </w:r>
      <w:r w:rsidRPr="00013CAD">
        <w:rPr>
          <w:rFonts w:cs="Arial"/>
          <w:b/>
          <w:bCs/>
          <w:sz w:val="18"/>
          <w:szCs w:val="18"/>
        </w:rPr>
        <w:t>Securities Act</w:t>
      </w:r>
      <w:r w:rsidRPr="00013CAD">
        <w:rPr>
          <w:rFonts w:cs="Arial"/>
          <w:sz w:val="18"/>
          <w:szCs w:val="18"/>
        </w:rPr>
        <w:t xml:space="preserve">”) together with (ii) an offer and sale of Securities in the United States by the Managers, </w:t>
      </w:r>
      <w:r w:rsidR="00C463B3">
        <w:rPr>
          <w:rFonts w:cs="Arial"/>
          <w:sz w:val="18"/>
          <w:szCs w:val="18"/>
        </w:rPr>
        <w:t xml:space="preserve">either directly </w:t>
      </w:r>
      <w:r w:rsidR="007B67AF">
        <w:rPr>
          <w:rFonts w:cs="Arial"/>
          <w:sz w:val="18"/>
          <w:szCs w:val="18"/>
        </w:rPr>
        <w:t xml:space="preserve"> </w:t>
      </w:r>
      <w:r w:rsidRPr="00013CAD">
        <w:rPr>
          <w:rFonts w:cs="Arial"/>
          <w:sz w:val="18"/>
          <w:szCs w:val="18"/>
        </w:rPr>
        <w:lastRenderedPageBreak/>
        <w:t xml:space="preserve">through </w:t>
      </w:r>
      <w:r w:rsidR="007451B8">
        <w:rPr>
          <w:rFonts w:cs="Arial"/>
          <w:sz w:val="18"/>
          <w:szCs w:val="18"/>
        </w:rPr>
        <w:t>a Manager’s</w:t>
      </w:r>
      <w:r w:rsidRPr="00013CAD">
        <w:rPr>
          <w:rFonts w:cs="Arial"/>
          <w:sz w:val="18"/>
          <w:szCs w:val="18"/>
        </w:rPr>
        <w:t xml:space="preserve"> respective US-registered broker-dealer</w:t>
      </w:r>
      <w:r w:rsidR="009A6A1A">
        <w:rPr>
          <w:rFonts w:cs="Arial"/>
          <w:sz w:val="18"/>
          <w:szCs w:val="18"/>
        </w:rPr>
        <w:t xml:space="preserve"> subsidiary </w:t>
      </w:r>
      <w:r w:rsidR="00765742">
        <w:rPr>
          <w:rFonts w:cs="Arial"/>
          <w:sz w:val="18"/>
          <w:szCs w:val="18"/>
        </w:rPr>
        <w:t xml:space="preserve">or </w:t>
      </w:r>
      <w:r w:rsidRPr="00013CAD">
        <w:rPr>
          <w:rFonts w:cs="Arial"/>
          <w:sz w:val="18"/>
          <w:szCs w:val="18"/>
        </w:rPr>
        <w:t>affiliate (the “</w:t>
      </w:r>
      <w:r w:rsidRPr="00013CAD">
        <w:rPr>
          <w:rFonts w:cs="Arial"/>
          <w:b/>
          <w:bCs/>
          <w:sz w:val="18"/>
          <w:szCs w:val="18"/>
        </w:rPr>
        <w:t>US Selling Agents</w:t>
      </w:r>
      <w:r w:rsidRPr="00013CAD">
        <w:rPr>
          <w:rFonts w:cs="Arial"/>
          <w:sz w:val="18"/>
          <w:szCs w:val="18"/>
        </w:rPr>
        <w:t xml:space="preserve">”), </w:t>
      </w:r>
      <w:r w:rsidR="00765742">
        <w:rPr>
          <w:rFonts w:cs="Arial"/>
          <w:sz w:val="18"/>
          <w:szCs w:val="18"/>
        </w:rPr>
        <w:t>or through a Manager pu</w:t>
      </w:r>
      <w:r w:rsidR="00423581">
        <w:rPr>
          <w:rFonts w:cs="Arial"/>
          <w:sz w:val="18"/>
          <w:szCs w:val="18"/>
        </w:rPr>
        <w:t xml:space="preserve">rsuant to its chaperoning arrangement with </w:t>
      </w:r>
      <w:r w:rsidR="008F3677">
        <w:rPr>
          <w:rFonts w:cs="Arial"/>
          <w:sz w:val="18"/>
          <w:szCs w:val="18"/>
        </w:rPr>
        <w:t>respective</w:t>
      </w:r>
      <w:r w:rsidR="00423581">
        <w:rPr>
          <w:rFonts w:cs="Arial"/>
          <w:sz w:val="18"/>
          <w:szCs w:val="18"/>
        </w:rPr>
        <w:t xml:space="preserve"> US-registered broker dealer subsidiary or affiliate in </w:t>
      </w:r>
      <w:r w:rsidR="003456AB">
        <w:rPr>
          <w:rFonts w:cs="Arial"/>
          <w:sz w:val="18"/>
          <w:szCs w:val="18"/>
        </w:rPr>
        <w:t>accordance</w:t>
      </w:r>
      <w:r w:rsidR="00423581">
        <w:rPr>
          <w:rFonts w:cs="Arial"/>
          <w:sz w:val="18"/>
          <w:szCs w:val="18"/>
        </w:rPr>
        <w:t xml:space="preserve"> with Rule 15</w:t>
      </w:r>
      <w:r w:rsidR="003456AB">
        <w:rPr>
          <w:rFonts w:cs="Arial"/>
          <w:sz w:val="18"/>
          <w:szCs w:val="18"/>
        </w:rPr>
        <w:t>a-6 under the U.S,  Exchange A</w:t>
      </w:r>
      <w:r w:rsidR="00AD5195">
        <w:rPr>
          <w:rFonts w:cs="Arial"/>
          <w:sz w:val="18"/>
          <w:szCs w:val="18"/>
        </w:rPr>
        <w:t>ct</w:t>
      </w:r>
      <w:r w:rsidR="00935D42">
        <w:rPr>
          <w:rFonts w:cs="Arial"/>
          <w:sz w:val="18"/>
          <w:szCs w:val="18"/>
        </w:rPr>
        <w:t xml:space="preserve">, </w:t>
      </w:r>
      <w:r w:rsidRPr="00013CAD">
        <w:rPr>
          <w:rFonts w:cs="Arial"/>
          <w:sz w:val="18"/>
          <w:szCs w:val="18"/>
        </w:rPr>
        <w:t>to qualified institutional buyers (“</w:t>
      </w:r>
      <w:r w:rsidRPr="00013CAD">
        <w:rPr>
          <w:rFonts w:cs="Arial"/>
          <w:b/>
          <w:bCs/>
          <w:sz w:val="18"/>
          <w:szCs w:val="18"/>
        </w:rPr>
        <w:t>QIBs</w:t>
      </w:r>
      <w:r w:rsidRPr="00013CAD">
        <w:rPr>
          <w:rFonts w:cs="Arial"/>
          <w:sz w:val="18"/>
          <w:szCs w:val="18"/>
        </w:rPr>
        <w:t>”) defined in Rule 144A (“</w:t>
      </w:r>
      <w:r w:rsidRPr="00013CAD">
        <w:rPr>
          <w:rFonts w:cs="Arial"/>
          <w:b/>
          <w:bCs/>
          <w:sz w:val="18"/>
          <w:szCs w:val="18"/>
        </w:rPr>
        <w:t>Rule 144A</w:t>
      </w:r>
      <w:r w:rsidRPr="00013CAD">
        <w:rPr>
          <w:rFonts w:cs="Arial"/>
          <w:sz w:val="18"/>
          <w:szCs w:val="18"/>
        </w:rPr>
        <w:t>”) under the Securities Act in a transaction not involving a “public offering” within the meaning of Section 4(2) of the Securities Act.</w:t>
      </w:r>
    </w:p>
    <w:p w14:paraId="411A8F1E" w14:textId="77777777" w:rsidR="000B4FCE" w:rsidRPr="00013CAD" w:rsidRDefault="000B4FCE" w:rsidP="000B4FCE">
      <w:pPr>
        <w:pStyle w:val="Body1"/>
        <w:rPr>
          <w:rFonts w:cs="Arial"/>
          <w:sz w:val="18"/>
          <w:szCs w:val="18"/>
        </w:rPr>
      </w:pPr>
      <w:r w:rsidRPr="00013CAD">
        <w:rPr>
          <w:rFonts w:cs="Arial"/>
          <w:sz w:val="18"/>
          <w:szCs w:val="18"/>
        </w:rPr>
        <w:t xml:space="preserve">All restrictions applicable to Managers in </w:t>
      </w:r>
      <w:r w:rsidR="00E95A81">
        <w:rPr>
          <w:rFonts w:cs="Arial"/>
          <w:sz w:val="18"/>
          <w:szCs w:val="18"/>
        </w:rPr>
        <w:t>these guidelines</w:t>
      </w:r>
      <w:r w:rsidRPr="00013CAD">
        <w:rPr>
          <w:rFonts w:cs="Arial"/>
          <w:sz w:val="18"/>
          <w:szCs w:val="18"/>
        </w:rPr>
        <w:t xml:space="preserve"> are also applicable to US Selling Agents, except where otherwise noted.</w:t>
      </w:r>
    </w:p>
    <w:p w14:paraId="32F14346" w14:textId="77777777" w:rsidR="0067756D" w:rsidRDefault="0067756D" w:rsidP="009D68B6">
      <w:pPr>
        <w:pStyle w:val="Body1"/>
        <w:rPr>
          <w:rFonts w:cs="Arial"/>
          <w:sz w:val="18"/>
          <w:szCs w:val="18"/>
        </w:rPr>
      </w:pPr>
      <w:r w:rsidRPr="00013CAD">
        <w:rPr>
          <w:rFonts w:cs="Arial"/>
          <w:sz w:val="18"/>
          <w:szCs w:val="18"/>
        </w:rPr>
        <w:t>Questions relating to th</w:t>
      </w:r>
      <w:r w:rsidR="00956E50">
        <w:rPr>
          <w:rFonts w:cs="Arial"/>
          <w:sz w:val="18"/>
          <w:szCs w:val="18"/>
        </w:rPr>
        <w:t>ese guidelines</w:t>
      </w:r>
      <w:r w:rsidRPr="00013CAD">
        <w:rPr>
          <w:rFonts w:cs="Arial"/>
          <w:sz w:val="18"/>
          <w:szCs w:val="18"/>
        </w:rPr>
        <w:t xml:space="preserve"> should be addressed to [●] (Tel: [●]).</w:t>
      </w:r>
    </w:p>
    <w:p w14:paraId="6CAE91F2" w14:textId="77777777" w:rsidR="00B75EFC" w:rsidRPr="00EA4C1D" w:rsidRDefault="000B4FCE" w:rsidP="00EA4C1D">
      <w:pPr>
        <w:pStyle w:val="Level2"/>
        <w:rPr>
          <w:b/>
          <w:bCs/>
        </w:rPr>
      </w:pPr>
      <w:r w:rsidRPr="00EA4C1D">
        <w:rPr>
          <w:b/>
          <w:bCs/>
        </w:rPr>
        <w:t>Main p</w:t>
      </w:r>
      <w:r w:rsidR="00B75EFC" w:rsidRPr="00EA4C1D">
        <w:rPr>
          <w:b/>
          <w:bCs/>
        </w:rPr>
        <w:t xml:space="preserve">urpose </w:t>
      </w:r>
    </w:p>
    <w:p w14:paraId="0021CFA1" w14:textId="77777777" w:rsidR="00B75EFC" w:rsidRPr="007E7377" w:rsidRDefault="00B75EFC" w:rsidP="000B4FCE">
      <w:pPr>
        <w:pStyle w:val="Body1"/>
        <w:rPr>
          <w:rFonts w:cs="Arial"/>
          <w:sz w:val="18"/>
          <w:szCs w:val="18"/>
        </w:rPr>
      </w:pPr>
      <w:r>
        <w:rPr>
          <w:rFonts w:cs="Arial"/>
          <w:sz w:val="18"/>
          <w:szCs w:val="18"/>
        </w:rPr>
        <w:t xml:space="preserve">The </w:t>
      </w:r>
      <w:r w:rsidR="000B4FCE">
        <w:rPr>
          <w:rFonts w:cs="Arial"/>
          <w:sz w:val="18"/>
          <w:szCs w:val="18"/>
        </w:rPr>
        <w:t xml:space="preserve">main </w:t>
      </w:r>
      <w:r>
        <w:rPr>
          <w:rFonts w:cs="Arial"/>
          <w:sz w:val="18"/>
          <w:szCs w:val="18"/>
        </w:rPr>
        <w:t xml:space="preserve">purpose </w:t>
      </w:r>
      <w:r w:rsidR="000E0D12">
        <w:rPr>
          <w:rFonts w:cs="Arial"/>
          <w:sz w:val="18"/>
          <w:szCs w:val="18"/>
        </w:rPr>
        <w:t>of</w:t>
      </w:r>
      <w:r>
        <w:rPr>
          <w:rFonts w:cs="Arial"/>
          <w:sz w:val="18"/>
          <w:szCs w:val="18"/>
        </w:rPr>
        <w:t xml:space="preserve"> </w:t>
      </w:r>
      <w:r w:rsidR="00841DE8">
        <w:rPr>
          <w:rFonts w:cs="Arial"/>
          <w:sz w:val="18"/>
          <w:szCs w:val="18"/>
        </w:rPr>
        <w:t xml:space="preserve">these </w:t>
      </w:r>
      <w:r>
        <w:rPr>
          <w:rFonts w:cs="Arial"/>
          <w:sz w:val="18"/>
          <w:szCs w:val="18"/>
        </w:rPr>
        <w:t>guideline</w:t>
      </w:r>
      <w:r w:rsidR="00841DE8">
        <w:rPr>
          <w:rFonts w:cs="Arial"/>
          <w:sz w:val="18"/>
          <w:szCs w:val="18"/>
        </w:rPr>
        <w:t>s</w:t>
      </w:r>
      <w:r>
        <w:rPr>
          <w:rFonts w:cs="Arial"/>
          <w:sz w:val="18"/>
          <w:szCs w:val="18"/>
        </w:rPr>
        <w:t xml:space="preserve"> </w:t>
      </w:r>
      <w:r w:rsidR="000B4FCE">
        <w:rPr>
          <w:rFonts w:cs="Arial"/>
          <w:sz w:val="18"/>
          <w:szCs w:val="18"/>
        </w:rPr>
        <w:t xml:space="preserve">is </w:t>
      </w:r>
      <w:r w:rsidR="000B4FCE" w:rsidDel="0065641A">
        <w:rPr>
          <w:rFonts w:cs="Arial"/>
          <w:sz w:val="18"/>
          <w:szCs w:val="18"/>
        </w:rPr>
        <w:t xml:space="preserve">to </w:t>
      </w:r>
      <w:r w:rsidR="000B4FCE">
        <w:rPr>
          <w:rFonts w:cs="Arial"/>
          <w:sz w:val="18"/>
          <w:szCs w:val="18"/>
        </w:rPr>
        <w:t>ensure a) that research reports are not regarded as forming part of the formal offering documentation</w:t>
      </w:r>
      <w:r w:rsidR="00841DE8">
        <w:rPr>
          <w:rFonts w:cs="Arial"/>
          <w:sz w:val="18"/>
          <w:szCs w:val="18"/>
        </w:rPr>
        <w:t xml:space="preserve"> for the Offering</w:t>
      </w:r>
      <w:r w:rsidR="000B4FCE">
        <w:rPr>
          <w:rFonts w:cs="Arial"/>
          <w:sz w:val="18"/>
          <w:szCs w:val="18"/>
        </w:rPr>
        <w:t>, b) that there is substantial consistency between factual information in the research reports and the prospectus</w:t>
      </w:r>
      <w:r w:rsidR="00841DE8">
        <w:rPr>
          <w:rFonts w:cs="Arial"/>
          <w:sz w:val="18"/>
          <w:szCs w:val="18"/>
        </w:rPr>
        <w:t xml:space="preserve"> </w:t>
      </w:r>
      <w:r w:rsidR="0099198F">
        <w:rPr>
          <w:rFonts w:cs="Arial"/>
          <w:sz w:val="18"/>
          <w:szCs w:val="18"/>
        </w:rPr>
        <w:t xml:space="preserve">to be published by the Company in connection with </w:t>
      </w:r>
      <w:r w:rsidR="00841DE8">
        <w:rPr>
          <w:rFonts w:cs="Arial"/>
          <w:sz w:val="18"/>
          <w:szCs w:val="18"/>
        </w:rPr>
        <w:t>the</w:t>
      </w:r>
      <w:r w:rsidR="000B4FCE">
        <w:rPr>
          <w:rFonts w:cs="Arial"/>
          <w:sz w:val="18"/>
          <w:szCs w:val="18"/>
        </w:rPr>
        <w:t xml:space="preserve"> </w:t>
      </w:r>
      <w:r w:rsidR="00841DE8">
        <w:rPr>
          <w:rFonts w:cs="Arial"/>
          <w:sz w:val="18"/>
          <w:szCs w:val="18"/>
        </w:rPr>
        <w:t xml:space="preserve">Offering </w:t>
      </w:r>
      <w:r w:rsidR="000B4FCE">
        <w:rPr>
          <w:rFonts w:cs="Arial"/>
          <w:sz w:val="18"/>
          <w:szCs w:val="18"/>
        </w:rPr>
        <w:t>(the “</w:t>
      </w:r>
      <w:r w:rsidR="000B4FCE" w:rsidRPr="007E7377">
        <w:rPr>
          <w:rFonts w:cs="Arial"/>
          <w:b/>
          <w:sz w:val="18"/>
          <w:szCs w:val="18"/>
        </w:rPr>
        <w:t>Prospectus</w:t>
      </w:r>
      <w:r w:rsidR="000B4FCE">
        <w:rPr>
          <w:rFonts w:cs="Arial"/>
          <w:sz w:val="18"/>
          <w:szCs w:val="18"/>
        </w:rPr>
        <w:t xml:space="preserve">”) and, c) that no information </w:t>
      </w:r>
      <w:r w:rsidR="000B4FCE" w:rsidRPr="00013CAD">
        <w:rPr>
          <w:rFonts w:cs="Arial"/>
          <w:snapToGrid w:val="0"/>
          <w:sz w:val="18"/>
          <w:szCs w:val="18"/>
        </w:rPr>
        <w:t>made available to the Connected Analysts by the Company (as opposed to by virtue of the Connected Analyst’s own analysis) that may influence an investment decision is made available to investors but omitted from the Prospectus</w:t>
      </w:r>
      <w:r w:rsidR="00841DE8">
        <w:rPr>
          <w:rFonts w:cs="Arial"/>
          <w:snapToGrid w:val="0"/>
          <w:sz w:val="18"/>
          <w:szCs w:val="18"/>
        </w:rPr>
        <w:t>.</w:t>
      </w:r>
    </w:p>
    <w:p w14:paraId="2C26F761" w14:textId="77777777" w:rsidR="0067756D" w:rsidRPr="00EA4C1D" w:rsidRDefault="0067756D">
      <w:pPr>
        <w:pStyle w:val="Level1"/>
        <w:rPr>
          <w:rFonts w:cs="Arial"/>
          <w:szCs w:val="22"/>
        </w:rPr>
      </w:pPr>
      <w:bookmarkStart w:id="19" w:name="_Toc260049867"/>
      <w:bookmarkStart w:id="20" w:name="_Toc292783574"/>
      <w:r w:rsidRPr="00EA4C1D">
        <w:rPr>
          <w:rFonts w:cs="Arial"/>
          <w:szCs w:val="22"/>
        </w:rPr>
        <w:t xml:space="preserve">Key </w:t>
      </w:r>
      <w:r w:rsidR="00B75EFC" w:rsidRPr="00EA4C1D">
        <w:rPr>
          <w:rFonts w:cs="Arial"/>
          <w:szCs w:val="22"/>
        </w:rPr>
        <w:t xml:space="preserve">Dates </w:t>
      </w:r>
      <w:bookmarkEnd w:id="19"/>
      <w:bookmarkEnd w:id="20"/>
    </w:p>
    <w:p w14:paraId="6DED1E4D" w14:textId="77777777" w:rsidR="0067756D" w:rsidRPr="00857A46" w:rsidRDefault="0067756D" w:rsidP="004437D5">
      <w:pPr>
        <w:pStyle w:val="Body1"/>
        <w:rPr>
          <w:rFonts w:cs="Arial"/>
          <w:snapToGrid w:val="0"/>
          <w:sz w:val="18"/>
          <w:szCs w:val="18"/>
        </w:rPr>
      </w:pPr>
      <w:r w:rsidRPr="00013CAD">
        <w:rPr>
          <w:rFonts w:cs="Arial"/>
          <w:sz w:val="18"/>
          <w:szCs w:val="18"/>
        </w:rPr>
        <w:t>The “</w:t>
      </w:r>
      <w:r w:rsidRPr="00013CAD">
        <w:rPr>
          <w:rFonts w:cs="Arial"/>
          <w:b/>
          <w:sz w:val="18"/>
          <w:szCs w:val="18"/>
        </w:rPr>
        <w:t>Restricted Period</w:t>
      </w:r>
      <w:r w:rsidRPr="00013CAD">
        <w:rPr>
          <w:rFonts w:cs="Arial"/>
          <w:sz w:val="18"/>
          <w:szCs w:val="18"/>
        </w:rPr>
        <w:t>” for research</w:t>
      </w:r>
      <w:r w:rsidR="000C571E" w:rsidRPr="00013CAD">
        <w:rPr>
          <w:rFonts w:cs="Arial"/>
          <w:sz w:val="18"/>
          <w:szCs w:val="18"/>
        </w:rPr>
        <w:t xml:space="preserve"> </w:t>
      </w:r>
      <w:r w:rsidRPr="00FE60F4">
        <w:rPr>
          <w:rFonts w:cs="Arial"/>
          <w:sz w:val="18"/>
          <w:szCs w:val="18"/>
          <w:u w:val="single"/>
        </w:rPr>
        <w:t xml:space="preserve">commences on </w:t>
      </w:r>
      <w:r w:rsidRPr="00FE60F4">
        <w:rPr>
          <w:rFonts w:cs="Arial"/>
          <w:snapToGrid w:val="0"/>
          <w:sz w:val="18"/>
          <w:szCs w:val="18"/>
          <w:u w:val="single"/>
        </w:rPr>
        <w:t>the date hereof</w:t>
      </w:r>
      <w:r w:rsidRPr="00013CAD">
        <w:rPr>
          <w:rFonts w:cs="Arial"/>
          <w:snapToGrid w:val="0"/>
          <w:sz w:val="18"/>
          <w:szCs w:val="18"/>
        </w:rPr>
        <w:t xml:space="preserve"> and continues until the later </w:t>
      </w:r>
      <w:r w:rsidRPr="00857A46">
        <w:rPr>
          <w:rFonts w:cs="Arial"/>
          <w:snapToGrid w:val="0"/>
          <w:sz w:val="18"/>
          <w:szCs w:val="18"/>
        </w:rPr>
        <w:t xml:space="preserve">of (i) </w:t>
      </w:r>
      <w:r w:rsidR="009471D8">
        <w:rPr>
          <w:rFonts w:cs="Arial"/>
          <w:snapToGrid w:val="0"/>
          <w:sz w:val="18"/>
          <w:szCs w:val="18"/>
        </w:rPr>
        <w:t>40</w:t>
      </w:r>
      <w:r w:rsidR="002F6421">
        <w:rPr>
          <w:rFonts w:cs="Arial"/>
          <w:snapToGrid w:val="0"/>
          <w:sz w:val="18"/>
          <w:szCs w:val="18"/>
        </w:rPr>
        <w:t xml:space="preserve"> </w:t>
      </w:r>
      <w:r w:rsidRPr="00857A46">
        <w:rPr>
          <w:rFonts w:cs="Arial"/>
          <w:snapToGrid w:val="0"/>
          <w:sz w:val="18"/>
          <w:szCs w:val="18"/>
        </w:rPr>
        <w:t>calendar days after the closing date of the Offering (the “</w:t>
      </w:r>
      <w:r w:rsidRPr="00857A46">
        <w:rPr>
          <w:rFonts w:cs="Arial"/>
          <w:b/>
          <w:bCs/>
          <w:snapToGrid w:val="0"/>
          <w:sz w:val="18"/>
          <w:szCs w:val="18"/>
        </w:rPr>
        <w:t>Closing Date</w:t>
      </w:r>
      <w:r w:rsidRPr="00857A46">
        <w:rPr>
          <w:rFonts w:cs="Arial"/>
          <w:snapToGrid w:val="0"/>
          <w:sz w:val="18"/>
          <w:szCs w:val="18"/>
        </w:rPr>
        <w:t>”) or (ii) upon completion of the distribution of the Securities as notified by the Manager</w:t>
      </w:r>
      <w:r w:rsidR="004F3114" w:rsidRPr="00857A46">
        <w:rPr>
          <w:rFonts w:cs="Arial"/>
          <w:snapToGrid w:val="0"/>
          <w:sz w:val="18"/>
          <w:szCs w:val="18"/>
        </w:rPr>
        <w:t>s</w:t>
      </w:r>
      <w:r w:rsidRPr="00857A46">
        <w:rPr>
          <w:rFonts w:cs="Arial"/>
          <w:snapToGrid w:val="0"/>
          <w:sz w:val="18"/>
          <w:szCs w:val="18"/>
        </w:rPr>
        <w:t>.</w:t>
      </w:r>
      <w:r w:rsidR="00314B8C" w:rsidRPr="00857A46">
        <w:rPr>
          <w:rFonts w:cs="Arial"/>
          <w:snapToGrid w:val="0"/>
          <w:sz w:val="18"/>
          <w:szCs w:val="18"/>
        </w:rPr>
        <w:t xml:space="preserve"> </w:t>
      </w:r>
    </w:p>
    <w:p w14:paraId="3CB064F0" w14:textId="77777777" w:rsidR="0067756D" w:rsidRDefault="0067756D" w:rsidP="004437D5">
      <w:pPr>
        <w:pStyle w:val="Body1"/>
        <w:rPr>
          <w:rFonts w:cs="Arial"/>
          <w:snapToGrid w:val="0"/>
          <w:sz w:val="18"/>
          <w:szCs w:val="18"/>
        </w:rPr>
      </w:pPr>
      <w:r w:rsidRPr="00857A46">
        <w:rPr>
          <w:rFonts w:cs="Arial"/>
          <w:snapToGrid w:val="0"/>
          <w:sz w:val="18"/>
          <w:szCs w:val="18"/>
        </w:rPr>
        <w:t>The “</w:t>
      </w:r>
      <w:r w:rsidRPr="00857A46">
        <w:rPr>
          <w:rFonts w:cs="Arial"/>
          <w:b/>
          <w:snapToGrid w:val="0"/>
          <w:sz w:val="18"/>
          <w:szCs w:val="18"/>
        </w:rPr>
        <w:t>Blackout Period</w:t>
      </w:r>
      <w:r w:rsidRPr="00857A46">
        <w:rPr>
          <w:rFonts w:cs="Arial"/>
          <w:snapToGrid w:val="0"/>
          <w:sz w:val="18"/>
          <w:szCs w:val="18"/>
        </w:rPr>
        <w:t xml:space="preserve">” for research </w:t>
      </w:r>
      <w:r w:rsidRPr="00FE60F4">
        <w:rPr>
          <w:rFonts w:cs="Arial"/>
          <w:snapToGrid w:val="0"/>
          <w:sz w:val="18"/>
          <w:szCs w:val="18"/>
          <w:u w:val="single"/>
        </w:rPr>
        <w:t xml:space="preserve">will commence as set out in </w:t>
      </w:r>
      <w:r w:rsidR="00357BCB">
        <w:rPr>
          <w:rFonts w:cs="Arial"/>
          <w:snapToGrid w:val="0"/>
          <w:sz w:val="18"/>
          <w:szCs w:val="18"/>
          <w:u w:val="single"/>
        </w:rPr>
        <w:t xml:space="preserve">the table </w:t>
      </w:r>
      <w:r w:rsidRPr="00FE60F4">
        <w:rPr>
          <w:rFonts w:cs="Arial"/>
          <w:snapToGrid w:val="0"/>
          <w:sz w:val="18"/>
          <w:szCs w:val="18"/>
          <w:u w:val="single"/>
        </w:rPr>
        <w:t>below</w:t>
      </w:r>
      <w:r w:rsidRPr="00857A46">
        <w:rPr>
          <w:rFonts w:cs="Arial"/>
          <w:snapToGrid w:val="0"/>
          <w:sz w:val="18"/>
          <w:szCs w:val="18"/>
        </w:rPr>
        <w:t xml:space="preserve"> and continue until the later of (i) </w:t>
      </w:r>
      <w:r w:rsidR="009471D8">
        <w:rPr>
          <w:rFonts w:cs="Arial"/>
          <w:snapToGrid w:val="0"/>
          <w:sz w:val="18"/>
          <w:szCs w:val="18"/>
        </w:rPr>
        <w:t>40</w:t>
      </w:r>
      <w:r w:rsidR="009C2601">
        <w:rPr>
          <w:rFonts w:cs="Arial"/>
          <w:snapToGrid w:val="0"/>
          <w:sz w:val="18"/>
          <w:szCs w:val="18"/>
        </w:rPr>
        <w:t xml:space="preserve"> </w:t>
      </w:r>
      <w:r w:rsidRPr="00857A46">
        <w:rPr>
          <w:rFonts w:cs="Arial"/>
          <w:snapToGrid w:val="0"/>
          <w:sz w:val="18"/>
          <w:szCs w:val="18"/>
        </w:rPr>
        <w:t>calendar days after</w:t>
      </w:r>
      <w:r w:rsidRPr="00013CAD">
        <w:rPr>
          <w:rFonts w:cs="Arial"/>
          <w:snapToGrid w:val="0"/>
          <w:sz w:val="18"/>
          <w:szCs w:val="18"/>
        </w:rPr>
        <w:t xml:space="preserve"> the Closing Date or (ii) upon completion of the distribution of the Securities as notified by the Manager</w:t>
      </w:r>
      <w:r w:rsidR="004F3114" w:rsidRPr="00013CAD">
        <w:rPr>
          <w:rFonts w:cs="Arial"/>
          <w:snapToGrid w:val="0"/>
          <w:sz w:val="18"/>
          <w:szCs w:val="18"/>
        </w:rPr>
        <w:t>s</w:t>
      </w:r>
      <w:r w:rsidRPr="00013CAD">
        <w:rPr>
          <w:rFonts w:cs="Arial"/>
          <w:snapToGrid w:val="0"/>
          <w:sz w:val="18"/>
          <w:szCs w:val="18"/>
        </w:rPr>
        <w:t>.</w:t>
      </w:r>
    </w:p>
    <w:p w14:paraId="561D137E" w14:textId="77777777" w:rsidR="000B4FCE" w:rsidRPr="00013CAD" w:rsidRDefault="000B4FCE" w:rsidP="000B4FCE">
      <w:pPr>
        <w:pStyle w:val="Body1"/>
        <w:rPr>
          <w:rFonts w:cs="Arial"/>
          <w:sz w:val="18"/>
          <w:szCs w:val="18"/>
        </w:rPr>
      </w:pPr>
      <w:r w:rsidRPr="00013CAD">
        <w:rPr>
          <w:rFonts w:cs="Arial"/>
          <w:sz w:val="18"/>
          <w:szCs w:val="18"/>
        </w:rPr>
        <w:t xml:space="preserve">The following is a summary of key dates for the distribution of research reports in advance of the Offering: </w:t>
      </w:r>
    </w:p>
    <w:tbl>
      <w:tblPr>
        <w:tblW w:w="9005" w:type="dxa"/>
        <w:tblInd w:w="680" w:type="dxa"/>
        <w:tblLook w:val="01E0" w:firstRow="1" w:lastRow="1" w:firstColumn="1" w:lastColumn="1" w:noHBand="0" w:noVBand="0"/>
      </w:tblPr>
      <w:tblGrid>
        <w:gridCol w:w="4531"/>
        <w:gridCol w:w="4474"/>
      </w:tblGrid>
      <w:tr w:rsidR="000B4FCE" w:rsidRPr="00013CAD" w14:paraId="1EB01D4B" w14:textId="77777777" w:rsidTr="00B376B4">
        <w:tc>
          <w:tcPr>
            <w:tcW w:w="4531" w:type="dxa"/>
          </w:tcPr>
          <w:p w14:paraId="3481AD7A" w14:textId="77777777" w:rsidR="000B4FCE" w:rsidRPr="00013CAD" w:rsidRDefault="000B4FCE" w:rsidP="00B376B4">
            <w:pPr>
              <w:pStyle w:val="Body1"/>
              <w:ind w:left="0" w:right="-308"/>
              <w:rPr>
                <w:rFonts w:cs="Arial"/>
                <w:sz w:val="18"/>
                <w:szCs w:val="18"/>
              </w:rPr>
            </w:pPr>
          </w:p>
        </w:tc>
        <w:tc>
          <w:tcPr>
            <w:tcW w:w="4474" w:type="dxa"/>
          </w:tcPr>
          <w:p w14:paraId="6DE8FFF4" w14:textId="77777777" w:rsidR="000B4FCE" w:rsidRPr="00013CAD" w:rsidRDefault="000B4FCE" w:rsidP="00B376B4">
            <w:pPr>
              <w:pStyle w:val="Body1"/>
              <w:ind w:left="318"/>
              <w:rPr>
                <w:rFonts w:cs="Arial"/>
                <w:sz w:val="18"/>
                <w:szCs w:val="18"/>
              </w:rPr>
            </w:pPr>
          </w:p>
        </w:tc>
      </w:tr>
      <w:tr w:rsidR="000B4FCE" w:rsidRPr="00013CAD" w14:paraId="2E6397E0" w14:textId="77777777" w:rsidTr="00B376B4">
        <w:tc>
          <w:tcPr>
            <w:tcW w:w="4531" w:type="dxa"/>
          </w:tcPr>
          <w:p w14:paraId="65607E37" w14:textId="77777777" w:rsidR="000B4FCE" w:rsidRPr="00013CAD" w:rsidRDefault="000B4FCE" w:rsidP="00B376B4">
            <w:pPr>
              <w:pStyle w:val="Body1"/>
              <w:ind w:left="0"/>
              <w:rPr>
                <w:rFonts w:cs="Arial"/>
                <w:sz w:val="18"/>
                <w:szCs w:val="18"/>
              </w:rPr>
            </w:pPr>
            <w:r w:rsidRPr="00013CAD">
              <w:rPr>
                <w:rFonts w:cs="Arial"/>
                <w:sz w:val="18"/>
                <w:szCs w:val="18"/>
              </w:rPr>
              <w:t>Commencement of Restricted Period</w:t>
            </w:r>
          </w:p>
          <w:p w14:paraId="41D6F81F" w14:textId="77777777" w:rsidR="000B4FCE" w:rsidRPr="00013CAD" w:rsidRDefault="000B4FCE" w:rsidP="00B376B4">
            <w:pPr>
              <w:pStyle w:val="Body1"/>
              <w:ind w:left="0"/>
              <w:rPr>
                <w:rFonts w:cs="Arial"/>
                <w:sz w:val="18"/>
                <w:szCs w:val="18"/>
              </w:rPr>
            </w:pPr>
          </w:p>
        </w:tc>
        <w:tc>
          <w:tcPr>
            <w:tcW w:w="4474" w:type="dxa"/>
          </w:tcPr>
          <w:p w14:paraId="6EF98591" w14:textId="77777777" w:rsidR="000B4FCE" w:rsidRPr="00013CAD" w:rsidRDefault="000B4FCE" w:rsidP="00B376B4">
            <w:pPr>
              <w:pStyle w:val="Body1"/>
              <w:ind w:left="318"/>
              <w:rPr>
                <w:rFonts w:cs="Arial"/>
                <w:sz w:val="18"/>
                <w:szCs w:val="18"/>
              </w:rPr>
            </w:pPr>
            <w:r w:rsidRPr="00013CAD">
              <w:rPr>
                <w:rFonts w:cs="Arial"/>
                <w:sz w:val="18"/>
                <w:szCs w:val="18"/>
              </w:rPr>
              <w:t xml:space="preserve">[Date of </w:t>
            </w:r>
            <w:r w:rsidR="00956E50">
              <w:rPr>
                <w:rFonts w:cs="Arial"/>
                <w:sz w:val="18"/>
                <w:szCs w:val="18"/>
              </w:rPr>
              <w:t>guidelines</w:t>
            </w:r>
            <w:r w:rsidRPr="00013CAD">
              <w:rPr>
                <w:rFonts w:cs="Arial"/>
                <w:sz w:val="18"/>
                <w:szCs w:val="18"/>
              </w:rPr>
              <w:t>]</w:t>
            </w:r>
          </w:p>
          <w:p w14:paraId="7585F060" w14:textId="77777777" w:rsidR="000B4FCE" w:rsidRPr="00013CAD" w:rsidRDefault="000B4FCE" w:rsidP="00B376B4">
            <w:pPr>
              <w:pStyle w:val="Body1"/>
              <w:ind w:left="318"/>
              <w:rPr>
                <w:rFonts w:cs="Arial"/>
                <w:sz w:val="18"/>
                <w:szCs w:val="18"/>
              </w:rPr>
            </w:pPr>
          </w:p>
        </w:tc>
      </w:tr>
      <w:tr w:rsidR="00357BCB" w:rsidRPr="00013CAD" w14:paraId="73DD31DB" w14:textId="77777777" w:rsidTr="00B376B4">
        <w:tc>
          <w:tcPr>
            <w:tcW w:w="4531" w:type="dxa"/>
          </w:tcPr>
          <w:p w14:paraId="3DC62FBC" w14:textId="77777777" w:rsidR="00357BCB" w:rsidRPr="00013CAD" w:rsidRDefault="00357BCB" w:rsidP="00B376B4">
            <w:pPr>
              <w:pStyle w:val="Body1"/>
              <w:ind w:left="0"/>
              <w:rPr>
                <w:rFonts w:cs="Arial"/>
                <w:sz w:val="18"/>
                <w:szCs w:val="18"/>
              </w:rPr>
            </w:pPr>
            <w:r w:rsidRPr="00013CAD">
              <w:rPr>
                <w:rFonts w:cs="Arial"/>
                <w:sz w:val="18"/>
                <w:szCs w:val="18"/>
              </w:rPr>
              <w:t>Submit research reports for review</w:t>
            </w:r>
          </w:p>
        </w:tc>
        <w:tc>
          <w:tcPr>
            <w:tcW w:w="4474" w:type="dxa"/>
          </w:tcPr>
          <w:p w14:paraId="77222472" w14:textId="77777777" w:rsidR="00357BCB" w:rsidRPr="00013CAD" w:rsidRDefault="00357BCB" w:rsidP="00B376B4">
            <w:pPr>
              <w:pStyle w:val="Body1"/>
              <w:ind w:left="318"/>
              <w:rPr>
                <w:rFonts w:cs="Arial"/>
                <w:sz w:val="18"/>
                <w:szCs w:val="18"/>
              </w:rPr>
            </w:pPr>
            <w:r w:rsidRPr="00013CAD">
              <w:rPr>
                <w:rFonts w:cs="Arial"/>
                <w:sz w:val="18"/>
                <w:szCs w:val="18"/>
              </w:rPr>
              <w:t>No later than [●] (CE</w:t>
            </w:r>
            <w:r>
              <w:rPr>
                <w:rFonts w:cs="Arial"/>
                <w:sz w:val="18"/>
                <w:szCs w:val="18"/>
              </w:rPr>
              <w:t>[S]</w:t>
            </w:r>
            <w:r w:rsidRPr="00013CAD">
              <w:rPr>
                <w:rFonts w:cs="Arial"/>
                <w:sz w:val="18"/>
                <w:szCs w:val="18"/>
              </w:rPr>
              <w:t>T) on [●]</w:t>
            </w:r>
          </w:p>
        </w:tc>
      </w:tr>
      <w:tr w:rsidR="000B4FCE" w:rsidRPr="00013CAD" w14:paraId="70503BC0" w14:textId="77777777" w:rsidTr="00B376B4">
        <w:tc>
          <w:tcPr>
            <w:tcW w:w="4531" w:type="dxa"/>
          </w:tcPr>
          <w:p w14:paraId="07CE95EC" w14:textId="77777777" w:rsidR="000B4FCE" w:rsidRPr="00013CAD" w:rsidRDefault="000B4FCE" w:rsidP="00B376B4">
            <w:pPr>
              <w:pStyle w:val="Body1"/>
              <w:ind w:left="0"/>
              <w:rPr>
                <w:rFonts w:cs="Arial"/>
                <w:sz w:val="18"/>
                <w:szCs w:val="18"/>
              </w:rPr>
            </w:pPr>
            <w:r w:rsidRPr="00013CAD">
              <w:rPr>
                <w:rFonts w:cs="Arial"/>
                <w:sz w:val="18"/>
                <w:szCs w:val="18"/>
              </w:rPr>
              <w:t>Comments to research reports returned</w:t>
            </w:r>
          </w:p>
        </w:tc>
        <w:tc>
          <w:tcPr>
            <w:tcW w:w="4474" w:type="dxa"/>
          </w:tcPr>
          <w:p w14:paraId="1B5A3FDA" w14:textId="77777777" w:rsidR="000B4FCE" w:rsidRPr="00013CAD" w:rsidRDefault="000B4FCE" w:rsidP="00B376B4">
            <w:pPr>
              <w:pStyle w:val="Body1"/>
              <w:ind w:left="318"/>
              <w:rPr>
                <w:rFonts w:cs="Arial"/>
                <w:sz w:val="18"/>
                <w:szCs w:val="18"/>
              </w:rPr>
            </w:pPr>
            <w:r w:rsidRPr="00013CAD">
              <w:rPr>
                <w:rFonts w:cs="Arial"/>
                <w:sz w:val="18"/>
                <w:szCs w:val="18"/>
              </w:rPr>
              <w:t>No later than [●] (CE</w:t>
            </w:r>
            <w:r w:rsidR="00357BCB">
              <w:rPr>
                <w:rFonts w:cs="Arial"/>
                <w:sz w:val="18"/>
                <w:szCs w:val="18"/>
              </w:rPr>
              <w:t>[S]</w:t>
            </w:r>
            <w:r w:rsidRPr="00013CAD">
              <w:rPr>
                <w:rFonts w:cs="Arial"/>
                <w:sz w:val="18"/>
                <w:szCs w:val="18"/>
              </w:rPr>
              <w:t>T) on [●]</w:t>
            </w:r>
          </w:p>
        </w:tc>
      </w:tr>
      <w:tr w:rsidR="000B4FCE" w:rsidRPr="00013CAD" w14:paraId="674703CF" w14:textId="77777777" w:rsidTr="00B376B4">
        <w:tc>
          <w:tcPr>
            <w:tcW w:w="4531" w:type="dxa"/>
          </w:tcPr>
          <w:p w14:paraId="51111F5F" w14:textId="77777777" w:rsidR="000B4FCE" w:rsidRPr="00013CAD" w:rsidRDefault="000B4FCE" w:rsidP="00B376B4">
            <w:pPr>
              <w:pStyle w:val="Body1"/>
              <w:ind w:left="0"/>
              <w:rPr>
                <w:rFonts w:cs="Arial"/>
                <w:sz w:val="18"/>
                <w:szCs w:val="18"/>
              </w:rPr>
            </w:pPr>
            <w:r w:rsidRPr="00013CAD">
              <w:rPr>
                <w:rFonts w:cs="Arial"/>
                <w:sz w:val="18"/>
                <w:szCs w:val="18"/>
              </w:rPr>
              <w:t>Publication and distribution of research</w:t>
            </w:r>
            <w:r w:rsidRPr="00013CAD">
              <w:rPr>
                <w:rStyle w:val="Fotnotereferanse"/>
                <w:rFonts w:cs="Arial"/>
                <w:sz w:val="18"/>
                <w:szCs w:val="18"/>
              </w:rPr>
              <w:footnoteReference w:id="4"/>
            </w:r>
          </w:p>
        </w:tc>
        <w:tc>
          <w:tcPr>
            <w:tcW w:w="4474" w:type="dxa"/>
          </w:tcPr>
          <w:p w14:paraId="18ED6BA3" w14:textId="77777777" w:rsidR="000B4FCE" w:rsidRPr="00013CAD" w:rsidRDefault="000B4FCE" w:rsidP="00B376B4">
            <w:pPr>
              <w:pStyle w:val="Body1"/>
              <w:ind w:left="318"/>
              <w:rPr>
                <w:rFonts w:cs="Arial"/>
                <w:sz w:val="18"/>
                <w:szCs w:val="18"/>
              </w:rPr>
            </w:pPr>
            <w:r w:rsidRPr="00013CAD">
              <w:rPr>
                <w:rFonts w:cs="Arial"/>
                <w:sz w:val="18"/>
                <w:szCs w:val="18"/>
              </w:rPr>
              <w:t>On [●] (no earlier than [●] and no later than 23.59 (CE</w:t>
            </w:r>
            <w:r w:rsidR="00357BCB">
              <w:rPr>
                <w:rFonts w:cs="Arial"/>
                <w:sz w:val="18"/>
                <w:szCs w:val="18"/>
              </w:rPr>
              <w:t>[S]</w:t>
            </w:r>
            <w:r w:rsidRPr="00013CAD">
              <w:rPr>
                <w:rFonts w:cs="Arial"/>
                <w:sz w:val="18"/>
                <w:szCs w:val="18"/>
              </w:rPr>
              <w:t>T))</w:t>
            </w:r>
          </w:p>
        </w:tc>
      </w:tr>
      <w:tr w:rsidR="000B4FCE" w:rsidRPr="00013CAD" w14:paraId="129ABD36" w14:textId="77777777" w:rsidTr="00B376B4">
        <w:tc>
          <w:tcPr>
            <w:tcW w:w="4531" w:type="dxa"/>
          </w:tcPr>
          <w:p w14:paraId="2A6A13DD" w14:textId="77777777" w:rsidR="000B4FCE" w:rsidRPr="00013CAD" w:rsidRDefault="000B4FCE" w:rsidP="00B376B4">
            <w:pPr>
              <w:pStyle w:val="Body1"/>
              <w:ind w:left="0"/>
              <w:rPr>
                <w:rFonts w:cs="Arial"/>
                <w:sz w:val="18"/>
                <w:szCs w:val="18"/>
              </w:rPr>
            </w:pPr>
            <w:r w:rsidRPr="00013CAD">
              <w:rPr>
                <w:rFonts w:cs="Arial"/>
                <w:sz w:val="18"/>
                <w:szCs w:val="18"/>
              </w:rPr>
              <w:t>Commencement of Blackout Period</w:t>
            </w:r>
            <w:r w:rsidRPr="00013CAD">
              <w:rPr>
                <w:rStyle w:val="Fotnotereferanse"/>
                <w:rFonts w:cs="Arial"/>
                <w:sz w:val="18"/>
                <w:szCs w:val="18"/>
              </w:rPr>
              <w:footnoteReference w:id="5"/>
            </w:r>
          </w:p>
        </w:tc>
        <w:tc>
          <w:tcPr>
            <w:tcW w:w="4474" w:type="dxa"/>
          </w:tcPr>
          <w:p w14:paraId="4288BBD5" w14:textId="77777777" w:rsidR="000B4FCE" w:rsidRPr="00013CAD" w:rsidRDefault="000B4FCE" w:rsidP="00B376B4">
            <w:pPr>
              <w:pStyle w:val="Body1"/>
              <w:ind w:left="318"/>
              <w:rPr>
                <w:rFonts w:cs="Arial"/>
                <w:sz w:val="18"/>
                <w:szCs w:val="18"/>
              </w:rPr>
            </w:pPr>
            <w:r w:rsidRPr="00013CAD">
              <w:rPr>
                <w:rFonts w:cs="Arial"/>
                <w:sz w:val="18"/>
                <w:szCs w:val="18"/>
              </w:rPr>
              <w:t>00.00 (CE</w:t>
            </w:r>
            <w:r w:rsidR="00357BCB">
              <w:rPr>
                <w:rFonts w:cs="Arial"/>
                <w:sz w:val="18"/>
                <w:szCs w:val="18"/>
              </w:rPr>
              <w:t>[S]</w:t>
            </w:r>
            <w:r w:rsidRPr="00013CAD">
              <w:rPr>
                <w:rFonts w:cs="Arial"/>
                <w:sz w:val="18"/>
                <w:szCs w:val="18"/>
              </w:rPr>
              <w:t>T) on [●]</w:t>
            </w:r>
          </w:p>
        </w:tc>
      </w:tr>
      <w:tr w:rsidR="000B4FCE" w:rsidRPr="00013CAD" w14:paraId="45EC1907" w14:textId="77777777" w:rsidTr="00B376B4">
        <w:tc>
          <w:tcPr>
            <w:tcW w:w="4531" w:type="dxa"/>
          </w:tcPr>
          <w:p w14:paraId="55598A7F" w14:textId="77777777" w:rsidR="000B4FCE" w:rsidRPr="00013CAD" w:rsidRDefault="000B4FCE" w:rsidP="00B376B4">
            <w:pPr>
              <w:pStyle w:val="Body1"/>
              <w:ind w:left="0"/>
              <w:rPr>
                <w:rFonts w:cs="Arial"/>
                <w:sz w:val="18"/>
                <w:szCs w:val="18"/>
              </w:rPr>
            </w:pPr>
            <w:r w:rsidRPr="00013CAD">
              <w:rPr>
                <w:rFonts w:cs="Arial"/>
                <w:sz w:val="18"/>
                <w:szCs w:val="18"/>
              </w:rPr>
              <w:t xml:space="preserve">Expected Closing Date </w:t>
            </w:r>
          </w:p>
        </w:tc>
        <w:tc>
          <w:tcPr>
            <w:tcW w:w="4474" w:type="dxa"/>
          </w:tcPr>
          <w:p w14:paraId="672307B8" w14:textId="77777777" w:rsidR="000B4FCE" w:rsidRPr="00013CAD" w:rsidRDefault="000B4FCE" w:rsidP="00B376B4">
            <w:pPr>
              <w:pStyle w:val="Body1"/>
              <w:ind w:left="318"/>
              <w:rPr>
                <w:rFonts w:cs="Arial"/>
                <w:sz w:val="18"/>
                <w:szCs w:val="18"/>
              </w:rPr>
            </w:pPr>
            <w:r w:rsidRPr="00013CAD">
              <w:rPr>
                <w:rFonts w:cs="Arial"/>
                <w:sz w:val="18"/>
                <w:szCs w:val="18"/>
              </w:rPr>
              <w:t>[●]</w:t>
            </w:r>
          </w:p>
        </w:tc>
      </w:tr>
      <w:tr w:rsidR="000B4FCE" w:rsidRPr="00013CAD" w14:paraId="222E3440" w14:textId="77777777" w:rsidTr="00B376B4">
        <w:tc>
          <w:tcPr>
            <w:tcW w:w="4531" w:type="dxa"/>
          </w:tcPr>
          <w:p w14:paraId="0D88ECB3" w14:textId="77777777" w:rsidR="000B4FCE" w:rsidRPr="00013CAD" w:rsidRDefault="000B4FCE" w:rsidP="00B376B4">
            <w:pPr>
              <w:pStyle w:val="Body1"/>
              <w:ind w:left="0"/>
              <w:rPr>
                <w:rFonts w:cs="Arial"/>
                <w:sz w:val="18"/>
                <w:szCs w:val="18"/>
              </w:rPr>
            </w:pPr>
            <w:r w:rsidRPr="00013CAD">
              <w:rPr>
                <w:rFonts w:cs="Arial"/>
                <w:sz w:val="18"/>
                <w:szCs w:val="18"/>
              </w:rPr>
              <w:t xml:space="preserve">Expected end of Blackout Period and Restricted Period </w:t>
            </w:r>
          </w:p>
        </w:tc>
        <w:tc>
          <w:tcPr>
            <w:tcW w:w="4474" w:type="dxa"/>
          </w:tcPr>
          <w:p w14:paraId="58ED499F" w14:textId="77777777" w:rsidR="000B4FCE" w:rsidRPr="00013CAD" w:rsidRDefault="000B4FCE" w:rsidP="00B376B4">
            <w:pPr>
              <w:pStyle w:val="Body1"/>
              <w:ind w:left="318"/>
              <w:rPr>
                <w:rFonts w:cs="Arial"/>
                <w:sz w:val="18"/>
                <w:szCs w:val="18"/>
              </w:rPr>
            </w:pPr>
            <w:r w:rsidRPr="00013CAD">
              <w:rPr>
                <w:rFonts w:cs="Arial"/>
                <w:sz w:val="18"/>
                <w:szCs w:val="18"/>
              </w:rPr>
              <w:t>[●]</w:t>
            </w:r>
            <w:r w:rsidRPr="00013CAD">
              <w:rPr>
                <w:rStyle w:val="Fotnotereferanse"/>
                <w:rFonts w:cs="Arial"/>
                <w:sz w:val="18"/>
                <w:szCs w:val="18"/>
              </w:rPr>
              <w:footnoteReference w:id="6"/>
            </w:r>
          </w:p>
        </w:tc>
      </w:tr>
    </w:tbl>
    <w:p w14:paraId="61974CC5" w14:textId="77777777" w:rsidR="0067756D" w:rsidRPr="00EA4C1D" w:rsidRDefault="0067756D">
      <w:pPr>
        <w:pStyle w:val="Level1"/>
        <w:rPr>
          <w:rFonts w:cs="Arial"/>
          <w:szCs w:val="22"/>
        </w:rPr>
      </w:pPr>
      <w:bookmarkStart w:id="21" w:name="_Toc260049868"/>
      <w:bookmarkStart w:id="22" w:name="_Toc292783575"/>
      <w:r w:rsidRPr="00EA4C1D">
        <w:rPr>
          <w:rFonts w:cs="Arial"/>
          <w:szCs w:val="22"/>
        </w:rPr>
        <w:lastRenderedPageBreak/>
        <w:t xml:space="preserve">Review Procedures </w:t>
      </w:r>
      <w:bookmarkEnd w:id="21"/>
      <w:bookmarkEnd w:id="22"/>
    </w:p>
    <w:p w14:paraId="04691363" w14:textId="77777777" w:rsidR="0067756D" w:rsidRDefault="000B4FCE" w:rsidP="00B02DF9">
      <w:pPr>
        <w:pStyle w:val="Body1"/>
        <w:rPr>
          <w:rFonts w:cs="Arial"/>
          <w:sz w:val="18"/>
          <w:szCs w:val="18"/>
        </w:rPr>
      </w:pPr>
      <w:r>
        <w:rPr>
          <w:rFonts w:cs="Arial"/>
          <w:sz w:val="18"/>
          <w:szCs w:val="18"/>
        </w:rPr>
        <w:t>D</w:t>
      </w:r>
      <w:r w:rsidR="0067756D" w:rsidRPr="00013CAD">
        <w:rPr>
          <w:rFonts w:cs="Arial"/>
          <w:sz w:val="18"/>
          <w:szCs w:val="18"/>
        </w:rPr>
        <w:t xml:space="preserve">raft versions of all research </w:t>
      </w:r>
      <w:r w:rsidR="0067756D" w:rsidRPr="00857A46">
        <w:rPr>
          <w:rFonts w:cs="Arial"/>
          <w:sz w:val="18"/>
          <w:szCs w:val="18"/>
        </w:rPr>
        <w:t xml:space="preserve">reports </w:t>
      </w:r>
      <w:r w:rsidR="00357BCB">
        <w:rPr>
          <w:rFonts w:cs="Arial"/>
          <w:sz w:val="18"/>
          <w:szCs w:val="18"/>
        </w:rPr>
        <w:t xml:space="preserve">to be released during the Restricted Period </w:t>
      </w:r>
      <w:r w:rsidR="0067756D" w:rsidRPr="00857A46">
        <w:rPr>
          <w:rFonts w:cs="Arial"/>
          <w:sz w:val="18"/>
          <w:szCs w:val="18"/>
        </w:rPr>
        <w:t xml:space="preserve">should </w:t>
      </w:r>
      <w:r>
        <w:rPr>
          <w:rFonts w:cs="Arial"/>
          <w:sz w:val="18"/>
          <w:szCs w:val="18"/>
        </w:rPr>
        <w:t xml:space="preserve">prior to finalisation </w:t>
      </w:r>
      <w:r w:rsidR="0067756D" w:rsidRPr="00857A46">
        <w:rPr>
          <w:rFonts w:cs="Arial"/>
          <w:sz w:val="18"/>
          <w:szCs w:val="18"/>
        </w:rPr>
        <w:t xml:space="preserve">be submitted to </w:t>
      </w:r>
      <w:r w:rsidR="0067756D" w:rsidRPr="00857A46" w:rsidDel="00357BCB">
        <w:rPr>
          <w:rFonts w:cs="Arial"/>
          <w:sz w:val="18"/>
          <w:szCs w:val="18"/>
        </w:rPr>
        <w:t>[</w:t>
      </w:r>
      <w:r w:rsidR="0067756D" w:rsidRPr="00857A46">
        <w:rPr>
          <w:rFonts w:cs="Arial"/>
          <w:sz w:val="18"/>
          <w:szCs w:val="18"/>
        </w:rPr>
        <w:t xml:space="preserve">counsel to the Managers] </w:t>
      </w:r>
      <w:r w:rsidR="00357BCB">
        <w:rPr>
          <w:rFonts w:cs="Arial"/>
          <w:sz w:val="18"/>
          <w:szCs w:val="18"/>
        </w:rPr>
        <w:t xml:space="preserve">for the attention of [name] </w:t>
      </w:r>
      <w:r w:rsidR="00357BCB" w:rsidRPr="00857A46">
        <w:rPr>
          <w:rFonts w:cs="Arial"/>
          <w:sz w:val="18"/>
          <w:szCs w:val="18"/>
        </w:rPr>
        <w:t>([</w:t>
      </w:r>
      <w:r w:rsidR="00357BCB">
        <w:rPr>
          <w:rFonts w:cs="Arial"/>
          <w:sz w:val="18"/>
          <w:szCs w:val="18"/>
        </w:rPr>
        <w:t>email</w:t>
      </w:r>
      <w:r w:rsidR="00357BCB" w:rsidRPr="00857A46">
        <w:rPr>
          <w:rFonts w:cs="Arial"/>
          <w:sz w:val="18"/>
          <w:szCs w:val="18"/>
        </w:rPr>
        <w:t xml:space="preserve">]) </w:t>
      </w:r>
      <w:r w:rsidR="00357BCB">
        <w:rPr>
          <w:rFonts w:cs="Arial"/>
          <w:sz w:val="18"/>
          <w:szCs w:val="18"/>
        </w:rPr>
        <w:t xml:space="preserve">[and </w:t>
      </w:r>
      <w:r w:rsidR="00357BCB" w:rsidRPr="00857A46">
        <w:rPr>
          <w:rFonts w:cs="Arial"/>
          <w:sz w:val="18"/>
          <w:szCs w:val="18"/>
        </w:rPr>
        <w:t>[</w:t>
      </w:r>
      <w:r w:rsidR="00357BCB">
        <w:rPr>
          <w:rFonts w:cs="Arial"/>
          <w:sz w:val="18"/>
          <w:szCs w:val="18"/>
        </w:rPr>
        <w:t>name</w:t>
      </w:r>
      <w:r w:rsidR="00357BCB" w:rsidRPr="00857A46">
        <w:rPr>
          <w:rFonts w:cs="Arial"/>
          <w:sz w:val="18"/>
          <w:szCs w:val="18"/>
        </w:rPr>
        <w:t>] ([</w:t>
      </w:r>
      <w:r w:rsidR="00357BCB">
        <w:rPr>
          <w:rFonts w:cs="Arial"/>
          <w:sz w:val="18"/>
          <w:szCs w:val="18"/>
        </w:rPr>
        <w:t>email</w:t>
      </w:r>
      <w:r w:rsidR="00357BCB" w:rsidRPr="00857A46">
        <w:rPr>
          <w:rFonts w:cs="Arial"/>
          <w:sz w:val="18"/>
          <w:szCs w:val="18"/>
        </w:rPr>
        <w:t>])</w:t>
      </w:r>
      <w:r w:rsidR="00357BCB">
        <w:rPr>
          <w:rFonts w:cs="Arial"/>
          <w:sz w:val="18"/>
          <w:szCs w:val="18"/>
        </w:rPr>
        <w:t>]</w:t>
      </w:r>
      <w:r w:rsidR="00BE5D59">
        <w:rPr>
          <w:rFonts w:cs="Arial"/>
          <w:sz w:val="18"/>
          <w:szCs w:val="18"/>
        </w:rPr>
        <w:t>, together with</w:t>
      </w:r>
      <w:r w:rsidR="00357BCB">
        <w:rPr>
          <w:rFonts w:cs="Arial"/>
          <w:sz w:val="18"/>
          <w:szCs w:val="18"/>
        </w:rPr>
        <w:t xml:space="preserve"> </w:t>
      </w:r>
      <w:r w:rsidR="00BE5D59">
        <w:rPr>
          <w:rFonts w:cs="Arial"/>
          <w:sz w:val="18"/>
          <w:szCs w:val="18"/>
        </w:rPr>
        <w:t>r</w:t>
      </w:r>
      <w:r w:rsidR="0067756D" w:rsidRPr="00013CAD">
        <w:rPr>
          <w:rFonts w:cs="Arial"/>
          <w:sz w:val="18"/>
          <w:szCs w:val="18"/>
        </w:rPr>
        <w:t>edacted versions with the valuation section and the executive summary removed</w:t>
      </w:r>
      <w:r w:rsidR="00BE5D59">
        <w:rPr>
          <w:rFonts w:cs="Arial"/>
          <w:sz w:val="18"/>
          <w:szCs w:val="18"/>
        </w:rPr>
        <w:t>.</w:t>
      </w:r>
      <w:r w:rsidR="0067756D" w:rsidRPr="00013CAD">
        <w:rPr>
          <w:rFonts w:cs="Arial"/>
          <w:sz w:val="18"/>
          <w:szCs w:val="18"/>
        </w:rPr>
        <w:t xml:space="preserve"> [counsel to the Managers] will, promptly upon receipt, forward </w:t>
      </w:r>
      <w:r w:rsidR="00BE5D59">
        <w:rPr>
          <w:rFonts w:cs="Arial"/>
          <w:sz w:val="18"/>
          <w:szCs w:val="18"/>
        </w:rPr>
        <w:t xml:space="preserve">the </w:t>
      </w:r>
      <w:r w:rsidR="0067756D" w:rsidRPr="00013CAD">
        <w:rPr>
          <w:rFonts w:cs="Arial"/>
          <w:sz w:val="18"/>
          <w:szCs w:val="18"/>
        </w:rPr>
        <w:t>redacted versions of the research reports to the Company’s legal counsel [●] (“[●]”) for the attention of [●] ([email])</w:t>
      </w:r>
      <w:r w:rsidR="00BE5D59">
        <w:rPr>
          <w:rFonts w:cs="Arial"/>
          <w:sz w:val="18"/>
          <w:szCs w:val="18"/>
        </w:rPr>
        <w:t xml:space="preserve"> [and </w:t>
      </w:r>
      <w:r w:rsidR="00BE5D59" w:rsidRPr="00857A46">
        <w:rPr>
          <w:rFonts w:cs="Arial"/>
          <w:sz w:val="18"/>
          <w:szCs w:val="18"/>
        </w:rPr>
        <w:t>[</w:t>
      </w:r>
      <w:r w:rsidR="00BE5D59">
        <w:rPr>
          <w:rFonts w:cs="Arial"/>
          <w:sz w:val="18"/>
          <w:szCs w:val="18"/>
        </w:rPr>
        <w:t>name</w:t>
      </w:r>
      <w:r w:rsidR="00BE5D59" w:rsidRPr="00857A46">
        <w:rPr>
          <w:rFonts w:cs="Arial"/>
          <w:sz w:val="18"/>
          <w:szCs w:val="18"/>
        </w:rPr>
        <w:t>] ([</w:t>
      </w:r>
      <w:r w:rsidR="00BE5D59">
        <w:rPr>
          <w:rFonts w:cs="Arial"/>
          <w:sz w:val="18"/>
          <w:szCs w:val="18"/>
        </w:rPr>
        <w:t>email</w:t>
      </w:r>
      <w:r w:rsidR="00BE5D59" w:rsidRPr="00857A46">
        <w:rPr>
          <w:rFonts w:cs="Arial"/>
          <w:sz w:val="18"/>
          <w:szCs w:val="18"/>
        </w:rPr>
        <w:t>])</w:t>
      </w:r>
      <w:r w:rsidR="00BE5D59">
        <w:rPr>
          <w:rFonts w:cs="Arial"/>
          <w:sz w:val="18"/>
          <w:szCs w:val="18"/>
        </w:rPr>
        <w:t>]</w:t>
      </w:r>
      <w:r w:rsidR="0067756D" w:rsidRPr="00013CAD">
        <w:rPr>
          <w:rFonts w:cs="Arial"/>
          <w:sz w:val="18"/>
          <w:szCs w:val="18"/>
        </w:rPr>
        <w:t>.</w:t>
      </w:r>
    </w:p>
    <w:p w14:paraId="4E196D11" w14:textId="77777777" w:rsidR="0099198F" w:rsidRDefault="00556FBD" w:rsidP="00B02DF9">
      <w:pPr>
        <w:pStyle w:val="Body1"/>
        <w:rPr>
          <w:rFonts w:cs="Arial"/>
          <w:sz w:val="18"/>
          <w:szCs w:val="18"/>
        </w:rPr>
      </w:pPr>
      <w:r w:rsidRPr="00013CAD">
        <w:rPr>
          <w:rFonts w:cs="Arial"/>
          <w:sz w:val="18"/>
          <w:szCs w:val="18"/>
        </w:rPr>
        <w:t>[Counsel to the Company]</w:t>
      </w:r>
      <w:r>
        <w:rPr>
          <w:rFonts w:cs="Arial"/>
          <w:sz w:val="18"/>
          <w:szCs w:val="18"/>
        </w:rPr>
        <w:t xml:space="preserve"> and </w:t>
      </w:r>
      <w:r w:rsidRPr="00013CAD">
        <w:rPr>
          <w:rFonts w:cs="Arial"/>
          <w:sz w:val="18"/>
          <w:szCs w:val="18"/>
        </w:rPr>
        <w:t xml:space="preserve">[Counsel to the </w:t>
      </w:r>
      <w:r>
        <w:rPr>
          <w:rFonts w:cs="Arial"/>
          <w:sz w:val="18"/>
          <w:szCs w:val="18"/>
        </w:rPr>
        <w:t>Man</w:t>
      </w:r>
      <w:r w:rsidR="000E0D12">
        <w:rPr>
          <w:rFonts w:cs="Arial"/>
          <w:sz w:val="18"/>
          <w:szCs w:val="18"/>
        </w:rPr>
        <w:t>a</w:t>
      </w:r>
      <w:r>
        <w:rPr>
          <w:rFonts w:cs="Arial"/>
          <w:sz w:val="18"/>
          <w:szCs w:val="18"/>
        </w:rPr>
        <w:t>gers</w:t>
      </w:r>
      <w:r w:rsidRPr="00013CAD">
        <w:rPr>
          <w:rFonts w:cs="Arial"/>
          <w:sz w:val="18"/>
          <w:szCs w:val="18"/>
        </w:rPr>
        <w:t>]</w:t>
      </w:r>
      <w:r>
        <w:rPr>
          <w:rFonts w:cs="Arial"/>
          <w:sz w:val="18"/>
          <w:szCs w:val="18"/>
        </w:rPr>
        <w:t xml:space="preserve"> </w:t>
      </w:r>
      <w:r w:rsidRPr="00556FBD">
        <w:rPr>
          <w:rFonts w:cs="Arial"/>
          <w:sz w:val="18"/>
          <w:szCs w:val="18"/>
        </w:rPr>
        <w:t xml:space="preserve">will review </w:t>
      </w:r>
      <w:r>
        <w:rPr>
          <w:rFonts w:cs="Arial"/>
          <w:sz w:val="18"/>
          <w:szCs w:val="18"/>
        </w:rPr>
        <w:t xml:space="preserve">the draft research report as to accuracy of material facts. </w:t>
      </w:r>
      <w:r w:rsidR="0067756D" w:rsidRPr="00013CAD">
        <w:rPr>
          <w:rFonts w:cs="Arial"/>
          <w:sz w:val="18"/>
          <w:szCs w:val="18"/>
        </w:rPr>
        <w:t>The review procedure does not involve verification by [Counsel to the Company</w:t>
      </w:r>
      <w:r w:rsidR="00CE649A">
        <w:rPr>
          <w:rFonts w:cs="Arial"/>
          <w:sz w:val="18"/>
          <w:szCs w:val="18"/>
        </w:rPr>
        <w:t xml:space="preserve"> and</w:t>
      </w:r>
      <w:r w:rsidR="00F1650F">
        <w:rPr>
          <w:rFonts w:cs="Arial"/>
          <w:sz w:val="18"/>
          <w:szCs w:val="18"/>
        </w:rPr>
        <w:t xml:space="preserve"> Manager</w:t>
      </w:r>
      <w:r w:rsidR="00D641D9">
        <w:rPr>
          <w:rFonts w:cs="Arial"/>
          <w:sz w:val="18"/>
          <w:szCs w:val="18"/>
        </w:rPr>
        <w:t>s</w:t>
      </w:r>
      <w:r w:rsidR="00792C30">
        <w:rPr>
          <w:rFonts w:cs="Arial"/>
          <w:sz w:val="18"/>
          <w:szCs w:val="18"/>
        </w:rPr>
        <w:t>’</w:t>
      </w:r>
      <w:r w:rsidR="0060047D">
        <w:rPr>
          <w:rFonts w:cs="Arial"/>
          <w:sz w:val="18"/>
          <w:szCs w:val="18"/>
        </w:rPr>
        <w:t xml:space="preserve"> Counsel</w:t>
      </w:r>
      <w:r w:rsidR="0067756D" w:rsidRPr="00013CAD">
        <w:rPr>
          <w:rFonts w:cs="Arial"/>
          <w:sz w:val="18"/>
          <w:szCs w:val="18"/>
        </w:rPr>
        <w:t>]</w:t>
      </w:r>
      <w:r w:rsidR="00B25F96">
        <w:rPr>
          <w:rFonts w:cs="Arial"/>
          <w:sz w:val="18"/>
          <w:szCs w:val="18"/>
        </w:rPr>
        <w:t xml:space="preserve"> </w:t>
      </w:r>
      <w:r w:rsidR="0067756D" w:rsidRPr="00013CAD">
        <w:rPr>
          <w:rFonts w:cs="Arial"/>
          <w:sz w:val="18"/>
          <w:szCs w:val="18"/>
        </w:rPr>
        <w:t xml:space="preserve">of the contents of a research report, although factual errors in the research report </w:t>
      </w:r>
      <w:r>
        <w:rPr>
          <w:rFonts w:cs="Arial"/>
          <w:sz w:val="18"/>
          <w:szCs w:val="18"/>
        </w:rPr>
        <w:t xml:space="preserve">and failures to comply with these guidelines </w:t>
      </w:r>
      <w:r w:rsidR="0067756D" w:rsidRPr="00013CAD">
        <w:rPr>
          <w:rFonts w:cs="Arial"/>
          <w:sz w:val="18"/>
          <w:szCs w:val="18"/>
        </w:rPr>
        <w:t xml:space="preserve">may be </w:t>
      </w:r>
      <w:r>
        <w:rPr>
          <w:rFonts w:cs="Arial"/>
          <w:sz w:val="18"/>
          <w:szCs w:val="18"/>
        </w:rPr>
        <w:t xml:space="preserve">pointed </w:t>
      </w:r>
      <w:r w:rsidR="0067756D" w:rsidRPr="00013CAD">
        <w:rPr>
          <w:rFonts w:cs="Arial"/>
          <w:sz w:val="18"/>
          <w:szCs w:val="18"/>
        </w:rPr>
        <w:t xml:space="preserve">out. Positive drafting suggestions will not be made. </w:t>
      </w:r>
      <w:r w:rsidR="00D56542">
        <w:rPr>
          <w:rFonts w:cs="Arial"/>
          <w:sz w:val="18"/>
          <w:szCs w:val="18"/>
        </w:rPr>
        <w:t>Other than in the</w:t>
      </w:r>
      <w:r w:rsidR="00D12D57">
        <w:rPr>
          <w:rFonts w:cs="Arial"/>
          <w:sz w:val="18"/>
          <w:szCs w:val="18"/>
        </w:rPr>
        <w:t xml:space="preserve"> case of negligence</w:t>
      </w:r>
      <w:r w:rsidR="009A0A02">
        <w:rPr>
          <w:rFonts w:cs="Arial"/>
          <w:sz w:val="18"/>
          <w:szCs w:val="18"/>
        </w:rPr>
        <w:t xml:space="preserve"> or wilful misc</w:t>
      </w:r>
      <w:r w:rsidR="00D37038">
        <w:rPr>
          <w:rFonts w:cs="Arial"/>
          <w:sz w:val="18"/>
          <w:szCs w:val="18"/>
        </w:rPr>
        <w:t>onduct</w:t>
      </w:r>
      <w:r w:rsidR="00D56542">
        <w:rPr>
          <w:rFonts w:cs="Arial"/>
          <w:sz w:val="18"/>
          <w:szCs w:val="18"/>
        </w:rPr>
        <w:t xml:space="preserve">, </w:t>
      </w:r>
      <w:r w:rsidR="003D0883">
        <w:rPr>
          <w:rFonts w:cs="Arial"/>
          <w:sz w:val="18"/>
          <w:szCs w:val="18"/>
        </w:rPr>
        <w:t>[</w:t>
      </w:r>
      <w:r w:rsidR="0067756D" w:rsidRPr="00013CAD">
        <w:rPr>
          <w:rFonts w:cs="Arial"/>
          <w:sz w:val="18"/>
          <w:szCs w:val="18"/>
        </w:rPr>
        <w:t>Counsel to the Company] accept</w:t>
      </w:r>
      <w:r w:rsidR="00476971">
        <w:rPr>
          <w:rFonts w:cs="Arial"/>
          <w:sz w:val="18"/>
          <w:szCs w:val="18"/>
        </w:rPr>
        <w:t>s</w:t>
      </w:r>
      <w:r w:rsidR="0067756D" w:rsidRPr="00013CAD">
        <w:rPr>
          <w:rFonts w:cs="Arial"/>
          <w:sz w:val="18"/>
          <w:szCs w:val="18"/>
        </w:rPr>
        <w:t xml:space="preserve"> no liability in connection with any comments they make on any research report and failure by them to comment on a research report may not be construed as a corroboration of the contents of that research report. [Counsel to the Company] will forward the redacted versions of the research reports to the Company. The Company, to the extent it chooses to review such drafts, will only consider the factual accuracy of these reports.</w:t>
      </w:r>
      <w:r w:rsidR="00A56C7F">
        <w:rPr>
          <w:rFonts w:cs="Arial"/>
          <w:sz w:val="18"/>
          <w:szCs w:val="18"/>
        </w:rPr>
        <w:t xml:space="preserve"> </w:t>
      </w:r>
      <w:r w:rsidR="00A56C7F" w:rsidRPr="00A56C7F">
        <w:rPr>
          <w:rFonts w:cs="Arial"/>
          <w:sz w:val="18"/>
          <w:szCs w:val="18"/>
        </w:rPr>
        <w:t>The Company will provide their comments</w:t>
      </w:r>
      <w:r w:rsidR="0099198F">
        <w:rPr>
          <w:rFonts w:cs="Arial"/>
          <w:sz w:val="18"/>
          <w:szCs w:val="18"/>
        </w:rPr>
        <w:t xml:space="preserve"> </w:t>
      </w:r>
      <w:r w:rsidR="00A56C7F" w:rsidRPr="00A56C7F">
        <w:rPr>
          <w:rFonts w:cs="Arial"/>
          <w:sz w:val="18"/>
          <w:szCs w:val="18"/>
        </w:rPr>
        <w:t xml:space="preserve">to </w:t>
      </w:r>
      <w:r w:rsidR="00A56C7F">
        <w:rPr>
          <w:rFonts w:cs="Arial"/>
          <w:sz w:val="18"/>
          <w:szCs w:val="18"/>
        </w:rPr>
        <w:t xml:space="preserve">[Counsel to the Company] </w:t>
      </w:r>
      <w:r w:rsidR="00A56C7F" w:rsidRPr="00A56C7F">
        <w:rPr>
          <w:rFonts w:cs="Arial"/>
          <w:sz w:val="18"/>
          <w:szCs w:val="18"/>
        </w:rPr>
        <w:t xml:space="preserve">who in turn will forward these to </w:t>
      </w:r>
      <w:r w:rsidR="00A56C7F">
        <w:rPr>
          <w:rFonts w:cs="Arial"/>
          <w:sz w:val="18"/>
          <w:szCs w:val="18"/>
        </w:rPr>
        <w:t xml:space="preserve">[Counsel to the Managers] </w:t>
      </w:r>
      <w:r w:rsidR="00A56C7F" w:rsidRPr="00A56C7F">
        <w:rPr>
          <w:rFonts w:cs="Arial"/>
          <w:sz w:val="18"/>
          <w:szCs w:val="18"/>
        </w:rPr>
        <w:t xml:space="preserve">who will submit the comments to the </w:t>
      </w:r>
      <w:r w:rsidR="0099198F">
        <w:rPr>
          <w:rFonts w:cs="Arial"/>
          <w:sz w:val="18"/>
          <w:szCs w:val="18"/>
        </w:rPr>
        <w:t>Connected A</w:t>
      </w:r>
      <w:r w:rsidR="00A56C7F" w:rsidRPr="00A56C7F">
        <w:rPr>
          <w:rFonts w:cs="Arial"/>
          <w:sz w:val="18"/>
          <w:szCs w:val="18"/>
        </w:rPr>
        <w:t>nalyst on the Company's behalf.</w:t>
      </w:r>
      <w:r w:rsidR="0099198F">
        <w:rPr>
          <w:rFonts w:cs="Arial"/>
          <w:sz w:val="18"/>
          <w:szCs w:val="18"/>
        </w:rPr>
        <w:t xml:space="preserve"> </w:t>
      </w:r>
    </w:p>
    <w:p w14:paraId="407A168B" w14:textId="77777777" w:rsidR="0067756D" w:rsidRDefault="0099198F" w:rsidP="00B02DF9">
      <w:pPr>
        <w:pStyle w:val="Body1"/>
        <w:rPr>
          <w:rFonts w:cs="Arial"/>
          <w:sz w:val="18"/>
          <w:szCs w:val="18"/>
        </w:rPr>
      </w:pPr>
      <w:r w:rsidRPr="00013CAD">
        <w:rPr>
          <w:rFonts w:cs="Arial"/>
          <w:sz w:val="18"/>
          <w:szCs w:val="18"/>
        </w:rPr>
        <w:t>[Counsel to the Company]</w:t>
      </w:r>
      <w:r>
        <w:rPr>
          <w:rFonts w:cs="Arial"/>
          <w:sz w:val="18"/>
          <w:szCs w:val="18"/>
        </w:rPr>
        <w:t xml:space="preserve"> and </w:t>
      </w:r>
      <w:r w:rsidRPr="00013CAD">
        <w:rPr>
          <w:rFonts w:cs="Arial"/>
          <w:sz w:val="18"/>
          <w:szCs w:val="18"/>
        </w:rPr>
        <w:t xml:space="preserve">[Counsel to the </w:t>
      </w:r>
      <w:r>
        <w:rPr>
          <w:rFonts w:cs="Arial"/>
          <w:sz w:val="18"/>
          <w:szCs w:val="18"/>
        </w:rPr>
        <w:t>Mangers</w:t>
      </w:r>
      <w:r w:rsidRPr="00013CAD">
        <w:rPr>
          <w:rFonts w:cs="Arial"/>
          <w:sz w:val="18"/>
          <w:szCs w:val="18"/>
        </w:rPr>
        <w:t>]</w:t>
      </w:r>
      <w:r>
        <w:rPr>
          <w:rFonts w:cs="Arial"/>
          <w:sz w:val="18"/>
          <w:szCs w:val="18"/>
        </w:rPr>
        <w:t xml:space="preserve"> </w:t>
      </w:r>
      <w:r w:rsidRPr="0099198F">
        <w:rPr>
          <w:rFonts w:cs="Arial"/>
          <w:sz w:val="18"/>
          <w:szCs w:val="18"/>
        </w:rPr>
        <w:t>will act as conduits for the Company's comments. The Company shall not send any comments directly to the Connected Analyst.</w:t>
      </w:r>
    </w:p>
    <w:p w14:paraId="26BFA585" w14:textId="77777777" w:rsidR="0067756D" w:rsidRPr="00013CAD" w:rsidRDefault="0067756D" w:rsidP="00E52759">
      <w:pPr>
        <w:pStyle w:val="Body1"/>
        <w:rPr>
          <w:rFonts w:cs="Arial"/>
          <w:sz w:val="18"/>
          <w:szCs w:val="18"/>
        </w:rPr>
      </w:pPr>
      <w:r w:rsidRPr="00013CAD" w:rsidDel="00E52759">
        <w:rPr>
          <w:rFonts w:cs="Arial"/>
          <w:sz w:val="18"/>
          <w:szCs w:val="18"/>
        </w:rPr>
        <w:t xml:space="preserve"> </w:t>
      </w:r>
    </w:p>
    <w:p w14:paraId="213D9CAF" w14:textId="77777777" w:rsidR="000B4FCE" w:rsidRDefault="00E52759" w:rsidP="000049DF">
      <w:pPr>
        <w:pStyle w:val="Level1"/>
        <w:rPr>
          <w:rFonts w:cs="Arial"/>
          <w:sz w:val="18"/>
          <w:szCs w:val="18"/>
        </w:rPr>
      </w:pPr>
      <w:bookmarkStart w:id="23" w:name="_Toc260049870"/>
      <w:bookmarkStart w:id="24" w:name="_Toc292783577"/>
      <w:r w:rsidRPr="003F0BEC">
        <w:rPr>
          <w:rFonts w:cs="Arial"/>
          <w:szCs w:val="22"/>
        </w:rPr>
        <w:t xml:space="preserve">Applicable </w:t>
      </w:r>
      <w:bookmarkEnd w:id="23"/>
      <w:bookmarkEnd w:id="24"/>
      <w:r w:rsidRPr="003F0BEC">
        <w:rPr>
          <w:rFonts w:cs="Arial"/>
          <w:szCs w:val="22"/>
        </w:rPr>
        <w:t>restrictions on distribution of research reports</w:t>
      </w:r>
      <w:r w:rsidR="00A63249">
        <w:rPr>
          <w:rStyle w:val="Fotnotereferanse"/>
          <w:sz w:val="18"/>
          <w:szCs w:val="18"/>
        </w:rPr>
        <w:footnoteReference w:id="7"/>
      </w:r>
    </w:p>
    <w:p w14:paraId="53B0B659" w14:textId="77777777" w:rsidR="0067756D" w:rsidRPr="003F0BEC" w:rsidRDefault="0067756D" w:rsidP="003F0BEC">
      <w:pPr>
        <w:pStyle w:val="Level2"/>
        <w:rPr>
          <w:b/>
          <w:bCs/>
        </w:rPr>
      </w:pPr>
      <w:r w:rsidRPr="003F0BEC">
        <w:rPr>
          <w:b/>
          <w:bCs/>
        </w:rPr>
        <w:t>No distribution during the Blackout Period</w:t>
      </w:r>
    </w:p>
    <w:p w14:paraId="3D5046D4" w14:textId="77777777" w:rsidR="0067756D" w:rsidRPr="00013CAD" w:rsidRDefault="0067756D" w:rsidP="009C1101">
      <w:pPr>
        <w:pStyle w:val="Body2"/>
        <w:ind w:left="0" w:firstLine="680"/>
        <w:rPr>
          <w:rFonts w:cs="Arial"/>
          <w:snapToGrid w:val="0"/>
          <w:sz w:val="18"/>
          <w:szCs w:val="18"/>
        </w:rPr>
      </w:pPr>
      <w:r w:rsidRPr="00013CAD">
        <w:rPr>
          <w:rFonts w:cs="Arial"/>
          <w:snapToGrid w:val="0"/>
          <w:sz w:val="18"/>
          <w:szCs w:val="18"/>
        </w:rPr>
        <w:t xml:space="preserve">Research reports shall </w:t>
      </w:r>
      <w:r w:rsidRPr="00013CAD">
        <w:rPr>
          <w:rFonts w:cs="Arial"/>
          <w:sz w:val="18"/>
          <w:szCs w:val="18"/>
        </w:rPr>
        <w:t xml:space="preserve">not be distributed </w:t>
      </w:r>
      <w:r w:rsidRPr="00013CAD">
        <w:rPr>
          <w:rFonts w:cs="Arial"/>
          <w:snapToGrid w:val="0"/>
          <w:sz w:val="18"/>
          <w:szCs w:val="18"/>
        </w:rPr>
        <w:t xml:space="preserve">anywhere in the world during the Blackout Period. </w:t>
      </w:r>
    </w:p>
    <w:p w14:paraId="4BBA0C54" w14:textId="77777777" w:rsidR="00E52759" w:rsidRPr="003F0BEC" w:rsidRDefault="00E52759" w:rsidP="003F0BEC">
      <w:pPr>
        <w:pStyle w:val="Level2"/>
        <w:rPr>
          <w:b/>
          <w:bCs/>
        </w:rPr>
      </w:pPr>
      <w:r w:rsidRPr="003F0BEC">
        <w:rPr>
          <w:b/>
          <w:bCs/>
        </w:rPr>
        <w:t>No distribution to the United States during the Restricted Period</w:t>
      </w:r>
    </w:p>
    <w:p w14:paraId="3B77E023" w14:textId="77777777" w:rsidR="00E52759" w:rsidRPr="009C1101" w:rsidRDefault="00E52759" w:rsidP="009C1101">
      <w:pPr>
        <w:pStyle w:val="Level2"/>
        <w:numPr>
          <w:ilvl w:val="0"/>
          <w:numId w:val="0"/>
        </w:numPr>
        <w:ind w:left="1503" w:hanging="652"/>
        <w:rPr>
          <w:rFonts w:cs="Arial"/>
          <w:sz w:val="18"/>
          <w:szCs w:val="18"/>
        </w:rPr>
      </w:pPr>
      <w:r w:rsidRPr="00013CAD">
        <w:rPr>
          <w:rFonts w:cs="Arial"/>
          <w:sz w:val="18"/>
          <w:szCs w:val="18"/>
        </w:rPr>
        <w:t>Research reports cannot be distributed into the United States during the Restricted Period.</w:t>
      </w:r>
    </w:p>
    <w:p w14:paraId="00DE6E98" w14:textId="77777777" w:rsidR="0067756D" w:rsidRPr="00013955" w:rsidRDefault="0067756D" w:rsidP="00013955">
      <w:pPr>
        <w:pStyle w:val="Level2"/>
        <w:rPr>
          <w:b/>
          <w:bCs/>
        </w:rPr>
      </w:pPr>
      <w:r w:rsidRPr="00013955">
        <w:rPr>
          <w:b/>
          <w:bCs/>
        </w:rPr>
        <w:t xml:space="preserve">Distribution outside the </w:t>
      </w:r>
      <w:r w:rsidRPr="009C1101">
        <w:rPr>
          <w:b/>
          <w:bCs/>
        </w:rPr>
        <w:t>United</w:t>
      </w:r>
      <w:r w:rsidRPr="00013955">
        <w:rPr>
          <w:b/>
          <w:bCs/>
        </w:rPr>
        <w:t xml:space="preserve"> States prior to the Blackout Period</w:t>
      </w:r>
      <w:r w:rsidR="00365012" w:rsidRPr="00013955">
        <w:rPr>
          <w:b/>
          <w:bCs/>
        </w:rPr>
        <w:t xml:space="preserve"> </w:t>
      </w:r>
    </w:p>
    <w:p w14:paraId="70456275" w14:textId="77777777" w:rsidR="0067756D" w:rsidRPr="00013CAD" w:rsidRDefault="00F47B12" w:rsidP="009C1101">
      <w:pPr>
        <w:pStyle w:val="Body2"/>
        <w:ind w:left="680"/>
        <w:rPr>
          <w:rFonts w:cs="Arial"/>
          <w:sz w:val="18"/>
          <w:szCs w:val="18"/>
        </w:rPr>
      </w:pPr>
      <w:r>
        <w:rPr>
          <w:rFonts w:cs="Arial"/>
          <w:sz w:val="18"/>
          <w:szCs w:val="18"/>
        </w:rPr>
        <w:t>During the Restricted Period/p</w:t>
      </w:r>
      <w:r w:rsidRPr="00013CAD">
        <w:rPr>
          <w:rFonts w:cs="Arial"/>
          <w:sz w:val="18"/>
          <w:szCs w:val="18"/>
        </w:rPr>
        <w:t xml:space="preserve">rior </w:t>
      </w:r>
      <w:r w:rsidR="0067756D" w:rsidRPr="00013CAD">
        <w:rPr>
          <w:rFonts w:cs="Arial"/>
          <w:sz w:val="18"/>
          <w:szCs w:val="18"/>
        </w:rPr>
        <w:t xml:space="preserve">to the commencement of the Blackout Period, research reports may be distributed outside the United States in accordance with the other restrictions set out below. Any such distribution is restricted to persons who appear on a list of persons who (i) have addresses outside the United States and (ii) are qualified to receive research according to the applicable laws of their home jurisdiction. Each Manager must screen its list to ensure that all recipients meet these criteria. If any reasonable doubt exists regarding a recipient’s US status, a Manager must refrain from sending a research report. Research reports may be distributed only to persons whom a Manager has no reason to believe will, directly or indirectly, send such research reports into the United States. </w:t>
      </w:r>
    </w:p>
    <w:p w14:paraId="30DF06E9" w14:textId="77777777" w:rsidR="002414A5" w:rsidRPr="00013CAD" w:rsidRDefault="0067756D" w:rsidP="003F16DD">
      <w:pPr>
        <w:pStyle w:val="Body2"/>
        <w:ind w:left="680"/>
        <w:rPr>
          <w:rFonts w:cs="Arial"/>
          <w:b/>
          <w:bCs/>
          <w:sz w:val="18"/>
          <w:szCs w:val="18"/>
        </w:rPr>
      </w:pPr>
      <w:r w:rsidRPr="00013CAD">
        <w:rPr>
          <w:rFonts w:cs="Arial"/>
          <w:sz w:val="18"/>
          <w:szCs w:val="18"/>
        </w:rPr>
        <w:t xml:space="preserve">As a prudential matter, affiliates of the Managers who are US </w:t>
      </w:r>
      <w:r w:rsidR="00F47B12">
        <w:rPr>
          <w:rFonts w:cs="Arial"/>
          <w:sz w:val="18"/>
          <w:szCs w:val="18"/>
        </w:rPr>
        <w:t>P</w:t>
      </w:r>
      <w:r w:rsidR="00F47B12" w:rsidRPr="00013CAD">
        <w:rPr>
          <w:rFonts w:cs="Arial"/>
          <w:sz w:val="18"/>
          <w:szCs w:val="18"/>
        </w:rPr>
        <w:t xml:space="preserve">ersons </w:t>
      </w:r>
      <w:r w:rsidRPr="00013CAD">
        <w:rPr>
          <w:rFonts w:cs="Arial"/>
          <w:sz w:val="18"/>
          <w:szCs w:val="18"/>
        </w:rPr>
        <w:t xml:space="preserve">(as defined in Regulation S) should be particularly careful in complying with the requirements specified in the preceding paragraph. </w:t>
      </w:r>
    </w:p>
    <w:p w14:paraId="7718E6F1" w14:textId="77777777" w:rsidR="0067756D" w:rsidRPr="00172BEE" w:rsidRDefault="0067756D" w:rsidP="00172BEE">
      <w:pPr>
        <w:pStyle w:val="Level2"/>
        <w:rPr>
          <w:b/>
          <w:bCs/>
        </w:rPr>
      </w:pPr>
      <w:r w:rsidRPr="00172BEE">
        <w:rPr>
          <w:b/>
          <w:bCs/>
        </w:rPr>
        <w:t xml:space="preserve">Distribution in </w:t>
      </w:r>
      <w:r w:rsidR="00E52759" w:rsidRPr="00172BEE">
        <w:rPr>
          <w:b/>
          <w:bCs/>
        </w:rPr>
        <w:t>the European Economic Area</w:t>
      </w:r>
      <w:r w:rsidR="008A6D11" w:rsidRPr="00172BEE">
        <w:rPr>
          <w:b/>
          <w:bCs/>
        </w:rPr>
        <w:t xml:space="preserve">, including Norway </w:t>
      </w:r>
    </w:p>
    <w:p w14:paraId="1160A4A3" w14:textId="77777777" w:rsidR="008A6D11" w:rsidRPr="000B3B97" w:rsidRDefault="008A6D11" w:rsidP="00172BEE">
      <w:pPr>
        <w:pStyle w:val="Body2"/>
        <w:ind w:left="680"/>
        <w:rPr>
          <w:rFonts w:cs="Arial"/>
          <w:sz w:val="18"/>
          <w:szCs w:val="18"/>
        </w:rPr>
      </w:pPr>
      <w:r w:rsidRPr="000B3B97">
        <w:rPr>
          <w:rFonts w:cs="Arial"/>
          <w:sz w:val="18"/>
          <w:szCs w:val="18"/>
        </w:rPr>
        <w:t xml:space="preserve">In a member state of the EEA, including Norway, research reports must only be distributed (i) to those persons who are “qualified investors” as defined in Article 2(e) of </w:t>
      </w:r>
      <w:r w:rsidRPr="000E02B4">
        <w:rPr>
          <w:rFonts w:cs="Arial"/>
          <w:sz w:val="18"/>
          <w:szCs w:val="18"/>
        </w:rPr>
        <w:t>the Prospectus Regulation and (ii) to</w:t>
      </w:r>
      <w:r w:rsidRPr="000B3B97">
        <w:rPr>
          <w:rFonts w:cs="Arial"/>
          <w:sz w:val="18"/>
          <w:szCs w:val="18"/>
        </w:rPr>
        <w:t xml:space="preserve"> retail investors in Norway on the relevant </w:t>
      </w:r>
      <w:r w:rsidR="00F47B12">
        <w:rPr>
          <w:rFonts w:cs="Arial"/>
          <w:sz w:val="18"/>
          <w:szCs w:val="18"/>
        </w:rPr>
        <w:t xml:space="preserve">Manager’s </w:t>
      </w:r>
      <w:r w:rsidRPr="000B3B97">
        <w:rPr>
          <w:rFonts w:cs="Arial"/>
          <w:sz w:val="18"/>
          <w:szCs w:val="18"/>
        </w:rPr>
        <w:t xml:space="preserve">research mailing list (if permitted and if in </w:t>
      </w:r>
      <w:r w:rsidRPr="000B3B97">
        <w:rPr>
          <w:rFonts w:cs="Arial"/>
          <w:sz w:val="18"/>
          <w:szCs w:val="18"/>
        </w:rPr>
        <w:lastRenderedPageBreak/>
        <w:t xml:space="preserve">compliance with such </w:t>
      </w:r>
      <w:r w:rsidR="00F47B12">
        <w:rPr>
          <w:rFonts w:cs="Arial"/>
          <w:sz w:val="18"/>
          <w:szCs w:val="18"/>
        </w:rPr>
        <w:t xml:space="preserve">Manager’s </w:t>
      </w:r>
      <w:r w:rsidRPr="000B3B97">
        <w:rPr>
          <w:rFonts w:cs="Arial"/>
          <w:sz w:val="18"/>
          <w:szCs w:val="18"/>
        </w:rPr>
        <w:t>internal policies). Under no circumstances should a research report be distributed in a</w:t>
      </w:r>
      <w:r w:rsidR="00A34797">
        <w:rPr>
          <w:rFonts w:cs="Arial"/>
          <w:sz w:val="18"/>
          <w:szCs w:val="18"/>
        </w:rPr>
        <w:t>ny other</w:t>
      </w:r>
      <w:r w:rsidRPr="000B3B97">
        <w:rPr>
          <w:rFonts w:cs="Arial"/>
          <w:sz w:val="18"/>
          <w:szCs w:val="18"/>
        </w:rPr>
        <w:t xml:space="preserve"> member state of the EEA to a private investor (</w:t>
      </w:r>
      <w:r w:rsidR="00033E95" w:rsidRPr="00033E95">
        <w:rPr>
          <w:rFonts w:cs="Arial"/>
          <w:sz w:val="18"/>
          <w:szCs w:val="18"/>
        </w:rPr>
        <w:t>even if such investor is considered to be</w:t>
      </w:r>
      <w:r w:rsidRPr="000B3B97">
        <w:rPr>
          <w:rFonts w:cs="Arial"/>
          <w:sz w:val="18"/>
          <w:szCs w:val="18"/>
        </w:rPr>
        <w:t xml:space="preserve"> substantial or sophisticated) or a member of the general public. Any </w:t>
      </w:r>
      <w:r w:rsidRPr="000E02B4">
        <w:rPr>
          <w:rFonts w:cs="Arial"/>
          <w:sz w:val="18"/>
          <w:szCs w:val="18"/>
        </w:rPr>
        <w:t>recipient of a research report must be instructed not to make it (nor any copy) available to any third party (as set out in the l</w:t>
      </w:r>
      <w:r w:rsidR="00047B82" w:rsidRPr="000E02B4">
        <w:rPr>
          <w:rFonts w:cs="Arial"/>
          <w:sz w:val="18"/>
          <w:szCs w:val="18"/>
        </w:rPr>
        <w:t>e</w:t>
      </w:r>
      <w:r w:rsidRPr="000E02B4">
        <w:rPr>
          <w:rFonts w:cs="Arial"/>
          <w:sz w:val="18"/>
          <w:szCs w:val="18"/>
        </w:rPr>
        <w:t>gends attached in Annex A).</w:t>
      </w:r>
      <w:r w:rsidR="000B3B97" w:rsidRPr="000E02B4">
        <w:rPr>
          <w:rStyle w:val="Fotnotereferanse"/>
          <w:sz w:val="18"/>
          <w:szCs w:val="18"/>
        </w:rPr>
        <w:footnoteReference w:id="8"/>
      </w:r>
    </w:p>
    <w:p w14:paraId="4398C912" w14:textId="77777777" w:rsidR="00F47B12" w:rsidRDefault="00E52759" w:rsidP="00172BEE">
      <w:pPr>
        <w:pStyle w:val="Body2"/>
        <w:ind w:left="680"/>
        <w:rPr>
          <w:rFonts w:cs="Arial"/>
          <w:sz w:val="18"/>
          <w:szCs w:val="18"/>
        </w:rPr>
      </w:pPr>
      <w:r>
        <w:rPr>
          <w:rFonts w:cs="Arial"/>
          <w:sz w:val="18"/>
          <w:szCs w:val="18"/>
        </w:rPr>
        <w:t>For distribution of research reports in member states of the European Economic Area (</w:t>
      </w:r>
      <w:r w:rsidR="00F47B12">
        <w:rPr>
          <w:rFonts w:cs="Arial"/>
          <w:sz w:val="18"/>
          <w:szCs w:val="18"/>
        </w:rPr>
        <w:t xml:space="preserve">the </w:t>
      </w:r>
      <w:r>
        <w:rPr>
          <w:rFonts w:cs="Arial"/>
          <w:sz w:val="18"/>
          <w:szCs w:val="18"/>
        </w:rPr>
        <w:t>“</w:t>
      </w:r>
      <w:r w:rsidRPr="00EA785B">
        <w:rPr>
          <w:rFonts w:cs="Arial"/>
          <w:b/>
          <w:bCs/>
          <w:sz w:val="18"/>
          <w:szCs w:val="18"/>
        </w:rPr>
        <w:t>EEA</w:t>
      </w:r>
      <w:r>
        <w:rPr>
          <w:rFonts w:cs="Arial"/>
          <w:sz w:val="18"/>
          <w:szCs w:val="18"/>
        </w:rPr>
        <w:t xml:space="preserve">”), </w:t>
      </w:r>
      <w:r w:rsidR="0093283B">
        <w:rPr>
          <w:rFonts w:cs="Arial"/>
          <w:sz w:val="18"/>
          <w:szCs w:val="18"/>
        </w:rPr>
        <w:t xml:space="preserve">including Norway, </w:t>
      </w:r>
      <w:r w:rsidR="0067756D" w:rsidRPr="00013CAD">
        <w:rPr>
          <w:rFonts w:cs="Arial"/>
          <w:sz w:val="18"/>
          <w:szCs w:val="18"/>
        </w:rPr>
        <w:t xml:space="preserve">the EU Market Abuse </w:t>
      </w:r>
      <w:r w:rsidR="00396CD6">
        <w:rPr>
          <w:rFonts w:cs="Arial"/>
          <w:sz w:val="18"/>
          <w:szCs w:val="18"/>
        </w:rPr>
        <w:t>Regulation</w:t>
      </w:r>
      <w:r w:rsidR="00396CD6" w:rsidRPr="00013CAD">
        <w:rPr>
          <w:rFonts w:cs="Arial"/>
          <w:sz w:val="18"/>
          <w:szCs w:val="18"/>
        </w:rPr>
        <w:t xml:space="preserve"> </w:t>
      </w:r>
      <w:r w:rsidR="00396CD6">
        <w:rPr>
          <w:rFonts w:cs="Arial"/>
          <w:sz w:val="18"/>
          <w:szCs w:val="18"/>
        </w:rPr>
        <w:t>(</w:t>
      </w:r>
      <w:r w:rsidR="00780977">
        <w:rPr>
          <w:rFonts w:cs="Arial"/>
          <w:sz w:val="18"/>
          <w:szCs w:val="18"/>
        </w:rPr>
        <w:t>“</w:t>
      </w:r>
      <w:r w:rsidR="00396CD6" w:rsidRPr="00EA785B">
        <w:rPr>
          <w:rFonts w:cs="Arial"/>
          <w:b/>
          <w:bCs/>
          <w:sz w:val="18"/>
          <w:szCs w:val="18"/>
        </w:rPr>
        <w:t>MAR</w:t>
      </w:r>
      <w:r w:rsidR="00780977">
        <w:rPr>
          <w:rFonts w:cs="Arial"/>
          <w:sz w:val="18"/>
          <w:szCs w:val="18"/>
        </w:rPr>
        <w:t>”</w:t>
      </w:r>
      <w:r w:rsidR="00396CD6">
        <w:rPr>
          <w:rFonts w:cs="Arial"/>
          <w:sz w:val="18"/>
          <w:szCs w:val="18"/>
        </w:rPr>
        <w:t xml:space="preserve">) </w:t>
      </w:r>
      <w:r w:rsidR="0067756D" w:rsidRPr="00013CAD">
        <w:rPr>
          <w:rFonts w:cs="Arial"/>
          <w:sz w:val="18"/>
          <w:szCs w:val="18"/>
        </w:rPr>
        <w:t>(</w:t>
      </w:r>
      <w:r w:rsidR="00E65F48">
        <w:rPr>
          <w:rFonts w:cs="Arial"/>
          <w:sz w:val="18"/>
          <w:szCs w:val="18"/>
        </w:rPr>
        <w:t xml:space="preserve">EU </w:t>
      </w:r>
      <w:r w:rsidR="00396CD6">
        <w:rPr>
          <w:rFonts w:cs="Arial"/>
          <w:sz w:val="18"/>
          <w:szCs w:val="18"/>
        </w:rPr>
        <w:t>2014/596</w:t>
      </w:r>
      <w:r w:rsidR="0067756D" w:rsidRPr="00013CAD">
        <w:rPr>
          <w:rFonts w:cs="Arial"/>
          <w:sz w:val="18"/>
          <w:szCs w:val="18"/>
        </w:rPr>
        <w:t>) art</w:t>
      </w:r>
      <w:r w:rsidR="00F47B12">
        <w:rPr>
          <w:rFonts w:cs="Arial"/>
          <w:sz w:val="18"/>
          <w:szCs w:val="18"/>
        </w:rPr>
        <w:t>icle</w:t>
      </w:r>
      <w:r w:rsidR="0067756D" w:rsidRPr="00013CAD">
        <w:rPr>
          <w:rFonts w:cs="Arial"/>
          <w:sz w:val="18"/>
          <w:szCs w:val="18"/>
        </w:rPr>
        <w:t xml:space="preserve"> </w:t>
      </w:r>
      <w:r w:rsidR="00396CD6">
        <w:rPr>
          <w:rFonts w:cs="Arial"/>
          <w:sz w:val="18"/>
          <w:szCs w:val="18"/>
        </w:rPr>
        <w:t>20</w:t>
      </w:r>
      <w:r w:rsidR="0067756D" w:rsidRPr="00013CAD">
        <w:rPr>
          <w:rFonts w:cs="Arial"/>
          <w:sz w:val="18"/>
          <w:szCs w:val="18"/>
        </w:rPr>
        <w:t xml:space="preserve">, and the </w:t>
      </w:r>
      <w:r w:rsidR="00396CD6" w:rsidRPr="00732268">
        <w:rPr>
          <w:rFonts w:cs="Arial"/>
          <w:sz w:val="18"/>
          <w:szCs w:val="18"/>
        </w:rPr>
        <w:t>Commission Delegated Regulation</w:t>
      </w:r>
      <w:r w:rsidR="00E65F48">
        <w:rPr>
          <w:rFonts w:cs="Arial"/>
          <w:sz w:val="18"/>
          <w:szCs w:val="18"/>
        </w:rPr>
        <w:t xml:space="preserve"> </w:t>
      </w:r>
      <w:r w:rsidR="003E29C3">
        <w:rPr>
          <w:rFonts w:cs="Arial"/>
          <w:sz w:val="18"/>
          <w:szCs w:val="18"/>
        </w:rPr>
        <w:t xml:space="preserve"> (</w:t>
      </w:r>
      <w:r w:rsidR="00E65F48">
        <w:rPr>
          <w:rFonts w:cs="Arial"/>
          <w:sz w:val="18"/>
          <w:szCs w:val="18"/>
        </w:rPr>
        <w:t xml:space="preserve">EU </w:t>
      </w:r>
      <w:r w:rsidR="00396CD6" w:rsidRPr="00732268">
        <w:rPr>
          <w:rFonts w:cs="Arial"/>
          <w:sz w:val="18"/>
          <w:szCs w:val="18"/>
        </w:rPr>
        <w:t>2016/958</w:t>
      </w:r>
      <w:r w:rsidR="003E29C3">
        <w:rPr>
          <w:rFonts w:cs="Arial"/>
          <w:sz w:val="18"/>
          <w:szCs w:val="18"/>
        </w:rPr>
        <w:t>)</w:t>
      </w:r>
      <w:r w:rsidR="00732268" w:rsidRPr="00732268">
        <w:rPr>
          <w:sz w:val="18"/>
          <w:szCs w:val="18"/>
        </w:rPr>
        <w:t xml:space="preserve"> </w:t>
      </w:r>
      <w:r>
        <w:rPr>
          <w:sz w:val="18"/>
          <w:szCs w:val="18"/>
        </w:rPr>
        <w:t xml:space="preserve">should be </w:t>
      </w:r>
      <w:r w:rsidRPr="00EA785B">
        <w:rPr>
          <w:sz w:val="18"/>
          <w:szCs w:val="18"/>
        </w:rPr>
        <w:t>taken into consideration</w:t>
      </w:r>
      <w:r w:rsidR="0067756D" w:rsidRPr="00013CAD">
        <w:rPr>
          <w:rFonts w:cs="Arial"/>
          <w:sz w:val="18"/>
          <w:szCs w:val="18"/>
        </w:rPr>
        <w:t xml:space="preserve">. </w:t>
      </w:r>
    </w:p>
    <w:p w14:paraId="576698CB" w14:textId="77777777" w:rsidR="002414A5" w:rsidRPr="007F4B93" w:rsidRDefault="0067756D" w:rsidP="00172BEE">
      <w:pPr>
        <w:pStyle w:val="Body2"/>
        <w:ind w:left="680"/>
        <w:rPr>
          <w:rFonts w:cs="Arial"/>
          <w:sz w:val="18"/>
          <w:szCs w:val="18"/>
        </w:rPr>
      </w:pPr>
      <w:r w:rsidRPr="00013CAD">
        <w:rPr>
          <w:rFonts w:cs="Arial"/>
          <w:sz w:val="18"/>
          <w:szCs w:val="18"/>
        </w:rPr>
        <w:t xml:space="preserve">Pursuant to </w:t>
      </w:r>
      <w:r w:rsidR="00732268">
        <w:rPr>
          <w:rFonts w:cs="Arial"/>
          <w:sz w:val="18"/>
          <w:szCs w:val="18"/>
        </w:rPr>
        <w:t>MAR art</w:t>
      </w:r>
      <w:r w:rsidR="00F47B12">
        <w:rPr>
          <w:rFonts w:cs="Arial"/>
          <w:sz w:val="18"/>
          <w:szCs w:val="18"/>
        </w:rPr>
        <w:t>icle</w:t>
      </w:r>
      <w:r w:rsidR="00732268">
        <w:rPr>
          <w:rFonts w:cs="Arial"/>
          <w:sz w:val="18"/>
          <w:szCs w:val="18"/>
        </w:rPr>
        <w:t xml:space="preserve"> 20</w:t>
      </w:r>
      <w:r w:rsidRPr="00013CAD">
        <w:rPr>
          <w:rFonts w:cs="Arial"/>
          <w:sz w:val="18"/>
          <w:szCs w:val="18"/>
        </w:rPr>
        <w:t xml:space="preserve">, </w:t>
      </w:r>
      <w:r w:rsidR="00203BBD">
        <w:rPr>
          <w:rFonts w:cs="Arial"/>
          <w:sz w:val="18"/>
          <w:szCs w:val="18"/>
        </w:rPr>
        <w:t>each</w:t>
      </w:r>
      <w:r w:rsidR="00203BBD" w:rsidRPr="00013CAD">
        <w:rPr>
          <w:rFonts w:cs="Arial"/>
          <w:sz w:val="18"/>
          <w:szCs w:val="18"/>
        </w:rPr>
        <w:t xml:space="preserve"> </w:t>
      </w:r>
      <w:r w:rsidRPr="00013CAD">
        <w:rPr>
          <w:rFonts w:cs="Arial"/>
          <w:sz w:val="18"/>
          <w:szCs w:val="18"/>
        </w:rPr>
        <w:t xml:space="preserve">Manager must take reasonable care to ensure that information is </w:t>
      </w:r>
      <w:r w:rsidR="00732268">
        <w:rPr>
          <w:rFonts w:cs="Arial"/>
          <w:sz w:val="18"/>
          <w:szCs w:val="18"/>
        </w:rPr>
        <w:t>objectively</w:t>
      </w:r>
      <w:r w:rsidR="00732268" w:rsidRPr="00013CAD">
        <w:rPr>
          <w:rFonts w:cs="Arial"/>
          <w:sz w:val="18"/>
          <w:szCs w:val="18"/>
        </w:rPr>
        <w:t xml:space="preserve"> </w:t>
      </w:r>
      <w:r w:rsidR="00780977">
        <w:rPr>
          <w:rFonts w:cs="Arial"/>
          <w:sz w:val="18"/>
          <w:szCs w:val="18"/>
        </w:rPr>
        <w:t>presented and that</w:t>
      </w:r>
      <w:r w:rsidR="000E0D12">
        <w:rPr>
          <w:rFonts w:cs="Arial"/>
          <w:sz w:val="18"/>
          <w:szCs w:val="18"/>
        </w:rPr>
        <w:t xml:space="preserve"> it discloses</w:t>
      </w:r>
      <w:r w:rsidR="00780977">
        <w:rPr>
          <w:rFonts w:cs="Arial"/>
          <w:sz w:val="18"/>
          <w:szCs w:val="18"/>
        </w:rPr>
        <w:t xml:space="preserve"> </w:t>
      </w:r>
      <w:r w:rsidR="00203BBD">
        <w:rPr>
          <w:rFonts w:cs="Arial"/>
          <w:sz w:val="18"/>
          <w:szCs w:val="18"/>
        </w:rPr>
        <w:t>its</w:t>
      </w:r>
      <w:r w:rsidR="00203BBD" w:rsidRPr="00013CAD">
        <w:rPr>
          <w:rFonts w:cs="Arial"/>
          <w:sz w:val="18"/>
          <w:szCs w:val="18"/>
        </w:rPr>
        <w:t xml:space="preserve"> </w:t>
      </w:r>
      <w:r w:rsidRPr="00013CAD">
        <w:rPr>
          <w:rFonts w:cs="Arial"/>
          <w:sz w:val="18"/>
          <w:szCs w:val="18"/>
        </w:rPr>
        <w:t>interests or indicate</w:t>
      </w:r>
      <w:r w:rsidR="00203BBD">
        <w:rPr>
          <w:rFonts w:cs="Arial"/>
          <w:sz w:val="18"/>
          <w:szCs w:val="18"/>
        </w:rPr>
        <w:t>s</w:t>
      </w:r>
      <w:r w:rsidRPr="00013CAD">
        <w:rPr>
          <w:rFonts w:cs="Arial"/>
          <w:sz w:val="18"/>
          <w:szCs w:val="18"/>
        </w:rPr>
        <w:t xml:space="preserve"> conflicts of interest concerning the financial instruments or the issuer to which that information relates. </w:t>
      </w:r>
      <w:r w:rsidR="00203BBD">
        <w:rPr>
          <w:rFonts w:cs="Arial"/>
          <w:sz w:val="18"/>
          <w:szCs w:val="18"/>
        </w:rPr>
        <w:t>Each</w:t>
      </w:r>
      <w:r w:rsidR="00203BBD" w:rsidRPr="00013CAD">
        <w:rPr>
          <w:rFonts w:cs="Arial"/>
          <w:sz w:val="18"/>
          <w:szCs w:val="18"/>
        </w:rPr>
        <w:t xml:space="preserve"> </w:t>
      </w:r>
      <w:r w:rsidRPr="00013CAD">
        <w:rPr>
          <w:rFonts w:cs="Arial"/>
          <w:sz w:val="18"/>
          <w:szCs w:val="18"/>
        </w:rPr>
        <w:t xml:space="preserve">Manager must therefore disclose in </w:t>
      </w:r>
      <w:r w:rsidR="00203BBD">
        <w:rPr>
          <w:rFonts w:cs="Arial"/>
          <w:sz w:val="18"/>
          <w:szCs w:val="18"/>
        </w:rPr>
        <w:t>any research report</w:t>
      </w:r>
      <w:r w:rsidR="00203BBD" w:rsidRPr="00013CAD">
        <w:rPr>
          <w:rFonts w:cs="Arial"/>
          <w:sz w:val="18"/>
          <w:szCs w:val="18"/>
        </w:rPr>
        <w:t xml:space="preserve"> </w:t>
      </w:r>
      <w:r w:rsidR="00203BBD">
        <w:rPr>
          <w:rFonts w:cs="Arial"/>
          <w:sz w:val="18"/>
          <w:szCs w:val="18"/>
        </w:rPr>
        <w:t xml:space="preserve">it publishes </w:t>
      </w:r>
      <w:r w:rsidRPr="00013CAD">
        <w:rPr>
          <w:rFonts w:cs="Arial"/>
          <w:sz w:val="18"/>
          <w:szCs w:val="18"/>
        </w:rPr>
        <w:t xml:space="preserve">all relationships and circumstances that may reasonably be </w:t>
      </w:r>
      <w:r w:rsidRPr="007F4B93">
        <w:rPr>
          <w:rFonts w:cs="Arial"/>
          <w:sz w:val="18"/>
          <w:szCs w:val="18"/>
        </w:rPr>
        <w:t>expected to impair the objectivity of the research</w:t>
      </w:r>
      <w:r w:rsidR="002414A5" w:rsidRPr="007F4B93">
        <w:rPr>
          <w:rFonts w:cs="Arial"/>
          <w:sz w:val="18"/>
          <w:szCs w:val="18"/>
        </w:rPr>
        <w:t xml:space="preserve">,  </w:t>
      </w:r>
      <w:r w:rsidR="002414A5" w:rsidRPr="007F4B93">
        <w:rPr>
          <w:sz w:val="18"/>
          <w:szCs w:val="18"/>
        </w:rPr>
        <w:t xml:space="preserve">including interests or conflicts of interest, on their part or on the part of any natural or legal person working for them under a contract of employment or otherwise, who was involved in producing the </w:t>
      </w:r>
      <w:r w:rsidR="00780977">
        <w:rPr>
          <w:sz w:val="18"/>
          <w:szCs w:val="18"/>
        </w:rPr>
        <w:t>research</w:t>
      </w:r>
      <w:r w:rsidR="002414A5" w:rsidRPr="007F4B93">
        <w:rPr>
          <w:sz w:val="18"/>
          <w:szCs w:val="18"/>
        </w:rPr>
        <w:t xml:space="preserve">, concerning any financial instrument or the issuer to which the </w:t>
      </w:r>
      <w:r w:rsidR="00780977">
        <w:rPr>
          <w:sz w:val="18"/>
          <w:szCs w:val="18"/>
        </w:rPr>
        <w:t xml:space="preserve">research </w:t>
      </w:r>
      <w:r w:rsidR="002414A5" w:rsidRPr="007F4B93">
        <w:rPr>
          <w:sz w:val="18"/>
          <w:szCs w:val="18"/>
        </w:rPr>
        <w:t>directly or indirectly relates.</w:t>
      </w:r>
    </w:p>
    <w:p w14:paraId="16009B1C" w14:textId="77777777" w:rsidR="0067756D" w:rsidRPr="00013CAD" w:rsidRDefault="0067756D" w:rsidP="00172BEE">
      <w:pPr>
        <w:pStyle w:val="Body2"/>
        <w:ind w:left="680"/>
        <w:rPr>
          <w:rFonts w:cs="Arial"/>
          <w:sz w:val="18"/>
          <w:szCs w:val="18"/>
        </w:rPr>
      </w:pPr>
      <w:r w:rsidRPr="00013CAD">
        <w:rPr>
          <w:rFonts w:cs="Arial"/>
          <w:sz w:val="18"/>
          <w:szCs w:val="18"/>
        </w:rPr>
        <w:t xml:space="preserve">In addition, </w:t>
      </w:r>
      <w:r w:rsidR="00203BBD">
        <w:rPr>
          <w:rFonts w:cs="Arial"/>
          <w:sz w:val="18"/>
          <w:szCs w:val="18"/>
        </w:rPr>
        <w:t>each</w:t>
      </w:r>
      <w:r w:rsidR="00203BBD" w:rsidRPr="00013CAD">
        <w:rPr>
          <w:rFonts w:cs="Arial"/>
          <w:sz w:val="18"/>
          <w:szCs w:val="18"/>
        </w:rPr>
        <w:t xml:space="preserve"> </w:t>
      </w:r>
      <w:r w:rsidRPr="00013CAD">
        <w:rPr>
          <w:rFonts w:cs="Arial"/>
          <w:sz w:val="18"/>
          <w:szCs w:val="18"/>
        </w:rPr>
        <w:t xml:space="preserve">Manager must </w:t>
      </w:r>
      <w:r w:rsidR="00E65F48">
        <w:rPr>
          <w:rFonts w:cs="Arial"/>
          <w:sz w:val="18"/>
          <w:szCs w:val="18"/>
        </w:rPr>
        <w:t>in accordance with articles 2</w:t>
      </w:r>
      <w:r w:rsidR="003E29C3">
        <w:rPr>
          <w:rFonts w:cs="Arial"/>
          <w:sz w:val="18"/>
          <w:szCs w:val="18"/>
        </w:rPr>
        <w:t xml:space="preserve"> </w:t>
      </w:r>
      <w:r w:rsidR="00E65F48">
        <w:rPr>
          <w:rFonts w:cs="Arial"/>
          <w:sz w:val="18"/>
          <w:szCs w:val="18"/>
        </w:rPr>
        <w:t>-</w:t>
      </w:r>
      <w:r w:rsidR="003E29C3">
        <w:rPr>
          <w:rFonts w:cs="Arial"/>
          <w:sz w:val="18"/>
          <w:szCs w:val="18"/>
        </w:rPr>
        <w:t xml:space="preserve"> </w:t>
      </w:r>
      <w:r w:rsidR="00E65F48">
        <w:rPr>
          <w:rFonts w:cs="Arial"/>
          <w:sz w:val="18"/>
          <w:szCs w:val="18"/>
        </w:rPr>
        <w:t xml:space="preserve">6 of the Commission Delegated Regulation EU 2016/958 </w:t>
      </w:r>
      <w:r w:rsidRPr="00013CAD">
        <w:rPr>
          <w:rFonts w:cs="Arial"/>
          <w:sz w:val="18"/>
          <w:szCs w:val="18"/>
        </w:rPr>
        <w:t xml:space="preserve">disclose, </w:t>
      </w:r>
      <w:r w:rsidRPr="00013CAD">
        <w:rPr>
          <w:rFonts w:cs="Arial"/>
          <w:i/>
          <w:sz w:val="18"/>
          <w:szCs w:val="18"/>
        </w:rPr>
        <w:t>inter alia</w:t>
      </w:r>
      <w:r w:rsidRPr="00013CAD">
        <w:rPr>
          <w:rFonts w:cs="Arial"/>
          <w:sz w:val="18"/>
          <w:szCs w:val="18"/>
        </w:rPr>
        <w:t>:</w:t>
      </w:r>
    </w:p>
    <w:p w14:paraId="304B4236" w14:textId="77777777" w:rsidR="00E65F48" w:rsidRDefault="00203BBD" w:rsidP="00172BEE">
      <w:pPr>
        <w:pStyle w:val="Level4"/>
        <w:tabs>
          <w:tab w:val="clear" w:pos="2722"/>
          <w:tab w:val="num" w:pos="2041"/>
        </w:tabs>
        <w:ind w:left="2041"/>
        <w:rPr>
          <w:sz w:val="18"/>
          <w:szCs w:val="18"/>
        </w:rPr>
      </w:pPr>
      <w:r>
        <w:rPr>
          <w:rFonts w:cs="Arial"/>
          <w:sz w:val="18"/>
          <w:szCs w:val="18"/>
        </w:rPr>
        <w:t>its</w:t>
      </w:r>
      <w:r w:rsidRPr="00013CAD">
        <w:rPr>
          <w:rFonts w:cs="Arial"/>
          <w:sz w:val="18"/>
          <w:szCs w:val="18"/>
        </w:rPr>
        <w:t xml:space="preserve"> </w:t>
      </w:r>
      <w:r w:rsidR="0067756D" w:rsidRPr="00013CAD">
        <w:rPr>
          <w:rFonts w:cs="Arial"/>
          <w:sz w:val="18"/>
          <w:szCs w:val="18"/>
        </w:rPr>
        <w:t xml:space="preserve">role as advisor/underwriter to the Offering; </w:t>
      </w:r>
      <w:r w:rsidR="00E65F48">
        <w:rPr>
          <w:sz w:val="18"/>
          <w:szCs w:val="18"/>
        </w:rPr>
        <w:t>or whether the person producing the recommendation or any other person bel</w:t>
      </w:r>
      <w:r w:rsidR="005F3789">
        <w:rPr>
          <w:sz w:val="18"/>
          <w:szCs w:val="18"/>
        </w:rPr>
        <w:t>onging</w:t>
      </w:r>
      <w:r w:rsidR="00E65F48">
        <w:rPr>
          <w:sz w:val="18"/>
          <w:szCs w:val="18"/>
        </w:rPr>
        <w:t xml:space="preserve"> to the same group with that person has been lead manager or co-lead manager over the previous 12 months of any publicly disclosed offer of financial instruments</w:t>
      </w:r>
      <w:r w:rsidR="005369BA">
        <w:rPr>
          <w:sz w:val="18"/>
          <w:szCs w:val="18"/>
        </w:rPr>
        <w:t xml:space="preserve"> of the Company</w:t>
      </w:r>
      <w:r w:rsidR="00E65F48">
        <w:rPr>
          <w:sz w:val="18"/>
          <w:szCs w:val="18"/>
        </w:rPr>
        <w:t xml:space="preserve">; </w:t>
      </w:r>
    </w:p>
    <w:p w14:paraId="5237DE91" w14:textId="77777777" w:rsidR="00E65F48" w:rsidRDefault="0067756D" w:rsidP="00172BEE">
      <w:pPr>
        <w:pStyle w:val="Level4"/>
        <w:tabs>
          <w:tab w:val="clear" w:pos="2722"/>
          <w:tab w:val="num" w:pos="2041"/>
        </w:tabs>
        <w:ind w:left="2041"/>
        <w:rPr>
          <w:sz w:val="18"/>
          <w:szCs w:val="18"/>
        </w:rPr>
      </w:pPr>
      <w:r w:rsidRPr="00013CAD">
        <w:rPr>
          <w:rFonts w:cs="Arial"/>
          <w:sz w:val="18"/>
          <w:szCs w:val="18"/>
        </w:rPr>
        <w:t xml:space="preserve">shareholdings (including shareholding of related parties) exceeding 5% of the total issued share capital in the Company; </w:t>
      </w:r>
      <w:r w:rsidR="00E65F48">
        <w:rPr>
          <w:sz w:val="18"/>
          <w:szCs w:val="18"/>
        </w:rPr>
        <w:t xml:space="preserve">and any net long or short position exceeding a threshold of 0.5% of the total issued share capital of the </w:t>
      </w:r>
      <w:r w:rsidR="005369BA">
        <w:rPr>
          <w:sz w:val="18"/>
          <w:szCs w:val="18"/>
        </w:rPr>
        <w:t>Company</w:t>
      </w:r>
      <w:r w:rsidR="00E65F48">
        <w:rPr>
          <w:sz w:val="18"/>
          <w:szCs w:val="18"/>
        </w:rPr>
        <w:t xml:space="preserve">; </w:t>
      </w:r>
    </w:p>
    <w:p w14:paraId="44624F6B" w14:textId="77777777" w:rsidR="0067756D" w:rsidRPr="00013CAD" w:rsidRDefault="0067756D" w:rsidP="009756B5">
      <w:pPr>
        <w:pStyle w:val="Level4"/>
        <w:tabs>
          <w:tab w:val="clear" w:pos="2722"/>
          <w:tab w:val="num" w:pos="2041"/>
        </w:tabs>
        <w:ind w:left="2041"/>
        <w:rPr>
          <w:rFonts w:cs="Arial"/>
          <w:sz w:val="18"/>
          <w:szCs w:val="18"/>
        </w:rPr>
      </w:pPr>
      <w:r w:rsidRPr="00013CAD">
        <w:rPr>
          <w:rFonts w:cs="Arial"/>
          <w:sz w:val="18"/>
          <w:szCs w:val="18"/>
        </w:rPr>
        <w:t xml:space="preserve">the organisational and administrative arrangements it has implemented for the prevention of conflicts of interest, including information barriers/Chinese walls; </w:t>
      </w:r>
    </w:p>
    <w:p w14:paraId="0A8DA78C" w14:textId="77777777" w:rsidR="0067756D" w:rsidRPr="00013CAD" w:rsidRDefault="0067756D" w:rsidP="009756B5">
      <w:pPr>
        <w:pStyle w:val="Level4"/>
        <w:tabs>
          <w:tab w:val="clear" w:pos="2722"/>
          <w:tab w:val="num" w:pos="2041"/>
        </w:tabs>
        <w:ind w:left="2041"/>
        <w:rPr>
          <w:rFonts w:cs="Arial"/>
          <w:sz w:val="18"/>
          <w:szCs w:val="18"/>
        </w:rPr>
      </w:pPr>
      <w:r w:rsidRPr="00013CAD">
        <w:rPr>
          <w:rFonts w:cs="Arial"/>
          <w:sz w:val="18"/>
          <w:szCs w:val="18"/>
        </w:rPr>
        <w:t xml:space="preserve">whether it has undertaken a contractual obligation to issue a research report; </w:t>
      </w:r>
    </w:p>
    <w:p w14:paraId="77615A02" w14:textId="77777777" w:rsidR="0067756D" w:rsidRPr="00013CAD" w:rsidRDefault="0067756D" w:rsidP="009756B5">
      <w:pPr>
        <w:pStyle w:val="Level4"/>
        <w:tabs>
          <w:tab w:val="clear" w:pos="2722"/>
          <w:tab w:val="num" w:pos="2041"/>
        </w:tabs>
        <w:ind w:left="2041"/>
        <w:rPr>
          <w:rFonts w:cs="Arial"/>
          <w:sz w:val="18"/>
          <w:szCs w:val="18"/>
        </w:rPr>
      </w:pPr>
      <w:r w:rsidRPr="00013CAD">
        <w:rPr>
          <w:rFonts w:cs="Arial"/>
          <w:sz w:val="18"/>
          <w:szCs w:val="18"/>
        </w:rPr>
        <w:t xml:space="preserve">the name </w:t>
      </w:r>
      <w:r w:rsidR="005369BA">
        <w:rPr>
          <w:rFonts w:cs="Arial"/>
          <w:sz w:val="18"/>
          <w:szCs w:val="18"/>
        </w:rPr>
        <w:t xml:space="preserve">and job title (including name of employer) </w:t>
      </w:r>
      <w:r w:rsidRPr="00013CAD">
        <w:rPr>
          <w:rFonts w:cs="Arial"/>
          <w:sz w:val="18"/>
          <w:szCs w:val="18"/>
        </w:rPr>
        <w:t xml:space="preserve">of </w:t>
      </w:r>
      <w:r w:rsidR="005369BA">
        <w:rPr>
          <w:rFonts w:cs="Arial"/>
          <w:sz w:val="18"/>
          <w:szCs w:val="18"/>
        </w:rPr>
        <w:t xml:space="preserve">all natural persons involved in the production of </w:t>
      </w:r>
      <w:r w:rsidRPr="00013CAD">
        <w:rPr>
          <w:rFonts w:cs="Arial"/>
          <w:sz w:val="18"/>
          <w:szCs w:val="18"/>
        </w:rPr>
        <w:t>the report; and</w:t>
      </w:r>
    </w:p>
    <w:p w14:paraId="6CC6E8BF" w14:textId="77777777" w:rsidR="0067756D" w:rsidRPr="00013CAD" w:rsidRDefault="0067756D" w:rsidP="009756B5">
      <w:pPr>
        <w:pStyle w:val="Level4"/>
        <w:tabs>
          <w:tab w:val="clear" w:pos="2722"/>
          <w:tab w:val="num" w:pos="2041"/>
        </w:tabs>
        <w:ind w:left="2041"/>
        <w:rPr>
          <w:rFonts w:cs="Arial"/>
          <w:sz w:val="18"/>
          <w:szCs w:val="18"/>
        </w:rPr>
      </w:pPr>
      <w:r w:rsidRPr="00013CAD">
        <w:rPr>
          <w:rFonts w:cs="Arial"/>
          <w:sz w:val="18"/>
          <w:szCs w:val="18"/>
        </w:rPr>
        <w:t>that information is based on reliable sources or that the reliability of a source is not certain. Substantial sources of the contents of the information should be mentioned.</w:t>
      </w:r>
    </w:p>
    <w:p w14:paraId="25DBE87D" w14:textId="77777777" w:rsidR="0067756D" w:rsidRDefault="0067756D" w:rsidP="002E6691">
      <w:pPr>
        <w:pStyle w:val="Body2"/>
        <w:ind w:left="680"/>
        <w:rPr>
          <w:rFonts w:cs="Arial"/>
          <w:sz w:val="18"/>
          <w:szCs w:val="18"/>
        </w:rPr>
      </w:pPr>
      <w:r w:rsidRPr="00013CAD">
        <w:rPr>
          <w:rFonts w:cs="Arial"/>
          <w:sz w:val="18"/>
          <w:szCs w:val="18"/>
        </w:rPr>
        <w:t xml:space="preserve">If forecasts are included, they must be clearly identified as such, and </w:t>
      </w:r>
      <w:r w:rsidR="00732268">
        <w:rPr>
          <w:rFonts w:cs="Arial"/>
          <w:sz w:val="18"/>
          <w:szCs w:val="18"/>
        </w:rPr>
        <w:t>material</w:t>
      </w:r>
      <w:r w:rsidR="00732268" w:rsidRPr="00013CAD">
        <w:rPr>
          <w:rFonts w:cs="Arial"/>
          <w:sz w:val="18"/>
          <w:szCs w:val="18"/>
        </w:rPr>
        <w:t xml:space="preserve"> </w:t>
      </w:r>
      <w:r w:rsidRPr="00013CAD">
        <w:rPr>
          <w:rFonts w:cs="Arial"/>
          <w:sz w:val="18"/>
          <w:szCs w:val="18"/>
        </w:rPr>
        <w:t>assumptions made in relation to the forecasts must be disclosed.</w:t>
      </w:r>
    </w:p>
    <w:p w14:paraId="0072DC0E" w14:textId="77777777" w:rsidR="008A6D11" w:rsidRPr="00013CAD" w:rsidRDefault="008A6D11" w:rsidP="002E6691">
      <w:pPr>
        <w:pStyle w:val="Body2"/>
        <w:ind w:left="680"/>
        <w:rPr>
          <w:rFonts w:cs="Arial"/>
          <w:sz w:val="18"/>
          <w:szCs w:val="18"/>
        </w:rPr>
      </w:pPr>
      <w:r w:rsidRPr="00172BEE">
        <w:rPr>
          <w:rFonts w:cs="Arial"/>
          <w:sz w:val="18"/>
          <w:szCs w:val="18"/>
        </w:rPr>
        <w:t>Under Article 15 in conjunction with Article 12(1)(c) of MAR it is prohibited, among other</w:t>
      </w:r>
      <w:r>
        <w:rPr>
          <w:rFonts w:cs="Arial"/>
          <w:sz w:val="18"/>
          <w:szCs w:val="18"/>
        </w:rPr>
        <w:t xml:space="preserve"> things</w:t>
      </w:r>
      <w:r w:rsidRPr="00172BEE">
        <w:rPr>
          <w:rFonts w:cs="Arial"/>
          <w:sz w:val="18"/>
          <w:szCs w:val="18"/>
        </w:rPr>
        <w:t xml:space="preserve">, to disseminate information, which gives, or is likely to give, false or misleading signals as to the supply of, demand for, or price of a financial instrument. With respect to the substantive and formal requirements regarding </w:t>
      </w:r>
      <w:r>
        <w:rPr>
          <w:rFonts w:cs="Arial"/>
          <w:sz w:val="18"/>
          <w:szCs w:val="18"/>
        </w:rPr>
        <w:t>r</w:t>
      </w:r>
      <w:r w:rsidRPr="00172BEE">
        <w:rPr>
          <w:rFonts w:cs="Arial"/>
          <w:sz w:val="18"/>
          <w:szCs w:val="18"/>
        </w:rPr>
        <w:t xml:space="preserve">esearch </w:t>
      </w:r>
      <w:r>
        <w:rPr>
          <w:rFonts w:cs="Arial"/>
          <w:sz w:val="18"/>
          <w:szCs w:val="18"/>
        </w:rPr>
        <w:t>r</w:t>
      </w:r>
      <w:r w:rsidRPr="00172BEE">
        <w:rPr>
          <w:rFonts w:cs="Arial"/>
          <w:sz w:val="18"/>
          <w:szCs w:val="18"/>
        </w:rPr>
        <w:t xml:space="preserve">eports, reference is therefore made in particular to the content and disclosure obligations set forth in, and following from the MAR and the </w:t>
      </w:r>
      <w:r>
        <w:rPr>
          <w:rFonts w:cs="Arial"/>
          <w:sz w:val="18"/>
          <w:szCs w:val="18"/>
        </w:rPr>
        <w:t xml:space="preserve">Commission Delegated </w:t>
      </w:r>
      <w:r w:rsidRPr="00172BEE">
        <w:rPr>
          <w:rFonts w:cs="Arial"/>
          <w:sz w:val="18"/>
          <w:szCs w:val="18"/>
        </w:rPr>
        <w:t>Regulation 2016/958 and with respect to the prohibition of market manipulation, reference is therefore made to Articles 12, 13 and 15 of the MAR and the respective delegated regulations.</w:t>
      </w:r>
    </w:p>
    <w:p w14:paraId="5170B3FE" w14:textId="77777777" w:rsidR="0067756D" w:rsidRPr="0087458C" w:rsidRDefault="0067756D" w:rsidP="0087458C">
      <w:pPr>
        <w:pStyle w:val="Level2"/>
        <w:rPr>
          <w:b/>
          <w:bCs/>
        </w:rPr>
      </w:pPr>
      <w:r w:rsidRPr="0087458C">
        <w:rPr>
          <w:b/>
          <w:bCs/>
        </w:rPr>
        <w:t>Distribution in the United Kingdom</w:t>
      </w:r>
    </w:p>
    <w:p w14:paraId="6BB5E5DF" w14:textId="77777777" w:rsidR="0067756D" w:rsidRPr="003E29C3" w:rsidRDefault="0067756D" w:rsidP="002E6691">
      <w:pPr>
        <w:pStyle w:val="Body2"/>
        <w:ind w:left="680"/>
        <w:rPr>
          <w:rFonts w:cs="Arial"/>
          <w:sz w:val="18"/>
          <w:szCs w:val="18"/>
        </w:rPr>
      </w:pPr>
      <w:r w:rsidRPr="00013CAD">
        <w:rPr>
          <w:rFonts w:cs="Arial"/>
          <w:sz w:val="18"/>
          <w:szCs w:val="18"/>
        </w:rPr>
        <w:t xml:space="preserve">Research reports must only be distributed or otherwise communicated in the United Kingdom either by or with the approval of a person who is authorised to carry on regulated activities in the United Kingdom for the purposes of </w:t>
      </w:r>
      <w:r w:rsidRPr="003E29C3">
        <w:rPr>
          <w:rFonts w:cs="Arial"/>
          <w:sz w:val="18"/>
          <w:szCs w:val="18"/>
        </w:rPr>
        <w:t>the Financial Services and Markets Act 2000 (“</w:t>
      </w:r>
      <w:r w:rsidRPr="003E29C3">
        <w:rPr>
          <w:rFonts w:cs="Arial"/>
          <w:b/>
          <w:bCs/>
          <w:sz w:val="18"/>
          <w:szCs w:val="18"/>
        </w:rPr>
        <w:t>FSMA</w:t>
      </w:r>
      <w:r w:rsidRPr="003E29C3">
        <w:rPr>
          <w:rFonts w:cs="Arial"/>
          <w:sz w:val="18"/>
          <w:szCs w:val="18"/>
        </w:rPr>
        <w:t>”) (an “</w:t>
      </w:r>
      <w:r w:rsidRPr="003E29C3">
        <w:rPr>
          <w:rFonts w:cs="Arial"/>
          <w:b/>
          <w:bCs/>
          <w:sz w:val="18"/>
          <w:szCs w:val="18"/>
        </w:rPr>
        <w:t xml:space="preserve">authorised </w:t>
      </w:r>
      <w:r w:rsidRPr="003E29C3">
        <w:rPr>
          <w:rFonts w:cs="Arial"/>
          <w:b/>
          <w:bCs/>
          <w:sz w:val="18"/>
          <w:szCs w:val="18"/>
        </w:rPr>
        <w:lastRenderedPageBreak/>
        <w:t>person</w:t>
      </w:r>
      <w:r w:rsidRPr="003E29C3">
        <w:rPr>
          <w:rFonts w:cs="Arial"/>
          <w:sz w:val="18"/>
          <w:szCs w:val="18"/>
        </w:rPr>
        <w:t>”) or (i) to “investment professionals” specified in Article 19(5) of the Financial Services and Markets Act (Financial Promotion) Order 2005 (the “</w:t>
      </w:r>
      <w:r w:rsidRPr="003E29C3">
        <w:rPr>
          <w:rFonts w:cs="Arial"/>
          <w:b/>
          <w:sz w:val="18"/>
          <w:szCs w:val="18"/>
        </w:rPr>
        <w:t>Order</w:t>
      </w:r>
      <w:r w:rsidRPr="003E29C3">
        <w:rPr>
          <w:rFonts w:cs="Arial"/>
          <w:sz w:val="18"/>
          <w:szCs w:val="18"/>
        </w:rPr>
        <w:t xml:space="preserve">”) and/or (ii) to persons who fall within Article 49(2)(a)  through (d) of the Order. </w:t>
      </w:r>
    </w:p>
    <w:p w14:paraId="3C409612" w14:textId="77777777" w:rsidR="0067756D" w:rsidRPr="003E29C3" w:rsidRDefault="0067756D" w:rsidP="003017ED">
      <w:pPr>
        <w:pStyle w:val="Body2"/>
        <w:ind w:left="680"/>
        <w:rPr>
          <w:rFonts w:cs="Arial"/>
          <w:sz w:val="18"/>
          <w:szCs w:val="18"/>
        </w:rPr>
      </w:pPr>
      <w:r w:rsidRPr="003E29C3">
        <w:rPr>
          <w:rFonts w:cs="Arial"/>
          <w:sz w:val="18"/>
          <w:szCs w:val="18"/>
        </w:rPr>
        <w:t>For the purposes of Article 19(5) of the Order, the principal categories of “investment professional” include:</w:t>
      </w:r>
    </w:p>
    <w:p w14:paraId="14CA0656" w14:textId="77777777" w:rsidR="0067756D" w:rsidRPr="003E29C3" w:rsidRDefault="0067756D">
      <w:pPr>
        <w:pStyle w:val="Level3"/>
        <w:rPr>
          <w:rFonts w:cs="Arial"/>
          <w:sz w:val="18"/>
          <w:szCs w:val="18"/>
        </w:rPr>
      </w:pPr>
      <w:r w:rsidRPr="003E29C3">
        <w:rPr>
          <w:rFonts w:cs="Arial"/>
          <w:sz w:val="18"/>
          <w:szCs w:val="18"/>
        </w:rPr>
        <w:t>authorised persons;</w:t>
      </w:r>
    </w:p>
    <w:p w14:paraId="2561C3E5" w14:textId="77777777" w:rsidR="0067756D" w:rsidRPr="003E29C3" w:rsidRDefault="0067756D">
      <w:pPr>
        <w:pStyle w:val="Level3"/>
        <w:rPr>
          <w:rFonts w:cs="Arial"/>
          <w:sz w:val="18"/>
          <w:szCs w:val="18"/>
        </w:rPr>
      </w:pPr>
      <w:r w:rsidRPr="003E29C3">
        <w:rPr>
          <w:rFonts w:cs="Arial"/>
          <w:sz w:val="18"/>
          <w:szCs w:val="18"/>
        </w:rPr>
        <w:t>persons who are exempt from the general prohibition in Section 19 of FSMA, provided the report relates to a controlled activity which is a regulated activity in relation to which the person is exempt;</w:t>
      </w:r>
    </w:p>
    <w:p w14:paraId="32A4F9F0" w14:textId="77777777" w:rsidR="0067756D" w:rsidRPr="003E29C3" w:rsidRDefault="0067756D">
      <w:pPr>
        <w:pStyle w:val="Level3"/>
        <w:rPr>
          <w:rFonts w:cs="Arial"/>
          <w:sz w:val="18"/>
          <w:szCs w:val="18"/>
        </w:rPr>
      </w:pPr>
      <w:r w:rsidRPr="003E29C3">
        <w:rPr>
          <w:rFonts w:cs="Arial"/>
          <w:sz w:val="18"/>
          <w:szCs w:val="18"/>
        </w:rPr>
        <w:t>governments, local authorities or international organisations;</w:t>
      </w:r>
    </w:p>
    <w:p w14:paraId="7E154C8B" w14:textId="77777777" w:rsidR="0067756D" w:rsidRPr="003E29C3" w:rsidRDefault="0067756D">
      <w:pPr>
        <w:pStyle w:val="Level3"/>
        <w:rPr>
          <w:rFonts w:cs="Arial"/>
          <w:sz w:val="18"/>
          <w:szCs w:val="18"/>
        </w:rPr>
      </w:pPr>
      <w:r w:rsidRPr="003E29C3">
        <w:rPr>
          <w:rFonts w:cs="Arial"/>
          <w:sz w:val="18"/>
          <w:szCs w:val="18"/>
        </w:rPr>
        <w:t>persons whose ordinary activities involve the carrying on for the purpose of business of controlled activities to which the report relates, or who may reasonably be expected to carry on such activity for the purposes of business; and</w:t>
      </w:r>
    </w:p>
    <w:p w14:paraId="122660F7" w14:textId="77777777" w:rsidR="0067756D" w:rsidRPr="003E29C3" w:rsidRDefault="0067756D">
      <w:pPr>
        <w:pStyle w:val="Level3"/>
        <w:rPr>
          <w:rFonts w:cs="Arial"/>
          <w:sz w:val="18"/>
          <w:szCs w:val="18"/>
        </w:rPr>
      </w:pPr>
      <w:r w:rsidRPr="003E29C3">
        <w:rPr>
          <w:rFonts w:cs="Arial"/>
          <w:sz w:val="18"/>
          <w:szCs w:val="18"/>
        </w:rPr>
        <w:t xml:space="preserve">directors, officers or </w:t>
      </w:r>
      <w:r w:rsidRPr="003E29C3">
        <w:rPr>
          <w:rFonts w:cs="Arial"/>
          <w:sz w:val="18"/>
          <w:szCs w:val="18"/>
        </w:rPr>
        <w:t>employees of any company, organisation or authority included in the above categories whose responsibilities in that capacity involve them in the carrying on of controlled activities.</w:t>
      </w:r>
    </w:p>
    <w:p w14:paraId="7D51AFE4" w14:textId="7AFB93A5" w:rsidR="00333937" w:rsidRDefault="002E3663" w:rsidP="00333937">
      <w:pPr>
        <w:pStyle w:val="Body2"/>
        <w:ind w:left="680"/>
        <w:rPr>
          <w:rFonts w:cs="Arial"/>
          <w:sz w:val="18"/>
          <w:szCs w:val="18"/>
        </w:rPr>
      </w:pPr>
      <w:r>
        <w:rPr>
          <w:rFonts w:cs="Arial"/>
          <w:sz w:val="18"/>
          <w:szCs w:val="18"/>
        </w:rPr>
        <w:t>[</w:t>
      </w:r>
      <w:r w:rsidR="0067756D" w:rsidRPr="00013CAD">
        <w:rPr>
          <w:rFonts w:cs="Arial"/>
          <w:sz w:val="18"/>
          <w:szCs w:val="18"/>
        </w:rPr>
        <w:t>As the research reports will not be approved by an authorised person, no research reports may be distributed in the United Kingdom to a private investor (</w:t>
      </w:r>
      <w:r w:rsidR="00033E95">
        <w:rPr>
          <w:rFonts w:cs="Arial"/>
          <w:sz w:val="18"/>
          <w:szCs w:val="18"/>
        </w:rPr>
        <w:t xml:space="preserve">even if such investor is considered to be </w:t>
      </w:r>
      <w:r w:rsidR="0067756D" w:rsidRPr="00013CAD">
        <w:rPr>
          <w:rFonts w:cs="Arial"/>
          <w:sz w:val="18"/>
          <w:szCs w:val="18"/>
        </w:rPr>
        <w:t>substantial or sophisticated).]</w:t>
      </w:r>
      <w:r w:rsidR="0087695A" w:rsidRPr="0087695A">
        <w:t xml:space="preserve"> </w:t>
      </w:r>
      <w:r w:rsidR="00D5550C" w:rsidRPr="003F065F">
        <w:rPr>
          <w:sz w:val="18"/>
          <w:szCs w:val="18"/>
        </w:rPr>
        <w:t xml:space="preserve">Restrictions and prohibitions on the distribution of research reports are set out in </w:t>
      </w:r>
      <w:r w:rsidR="002B04A4">
        <w:rPr>
          <w:sz w:val="18"/>
          <w:szCs w:val="18"/>
        </w:rPr>
        <w:t>a</w:t>
      </w:r>
      <w:r w:rsidR="00D5550C" w:rsidRPr="003F065F">
        <w:rPr>
          <w:sz w:val="18"/>
          <w:szCs w:val="18"/>
        </w:rPr>
        <w:t xml:space="preserve">ppendix 1 and </w:t>
      </w:r>
      <w:r w:rsidR="002B04A4">
        <w:rPr>
          <w:sz w:val="18"/>
          <w:szCs w:val="18"/>
        </w:rPr>
        <w:t>a</w:t>
      </w:r>
      <w:r w:rsidR="00D5550C" w:rsidRPr="003F065F">
        <w:rPr>
          <w:sz w:val="18"/>
          <w:szCs w:val="18"/>
        </w:rPr>
        <w:t>ppendix 2</w:t>
      </w:r>
      <w:r w:rsidR="00D5550C">
        <w:t>.</w:t>
      </w:r>
    </w:p>
    <w:p w14:paraId="0F2E05AD" w14:textId="77777777" w:rsidR="00333937" w:rsidRDefault="00333937" w:rsidP="00333937">
      <w:pPr>
        <w:pStyle w:val="Body2"/>
        <w:ind w:left="680"/>
        <w:rPr>
          <w:rFonts w:cs="Arial"/>
          <w:sz w:val="18"/>
          <w:szCs w:val="18"/>
        </w:rPr>
      </w:pPr>
    </w:p>
    <w:p w14:paraId="16043340" w14:textId="7C7B989C" w:rsidR="0067756D" w:rsidRPr="00A672B8" w:rsidRDefault="00E72F61" w:rsidP="0036088D">
      <w:pPr>
        <w:pStyle w:val="Level2"/>
        <w:tabs>
          <w:tab w:val="clear" w:pos="1531"/>
          <w:tab w:val="num" w:pos="2040"/>
        </w:tabs>
        <w:ind w:left="2012"/>
        <w:rPr>
          <w:b/>
          <w:bCs/>
        </w:rPr>
      </w:pPr>
      <w:r>
        <w:rPr>
          <w:b/>
          <w:bCs/>
        </w:rPr>
        <w:tab/>
      </w:r>
      <w:r w:rsidR="0067756D" w:rsidRPr="00A672B8">
        <w:rPr>
          <w:b/>
          <w:bCs/>
        </w:rPr>
        <w:t>Disclosure of material non-public information</w:t>
      </w:r>
    </w:p>
    <w:p w14:paraId="3A2EE668" w14:textId="77777777" w:rsidR="0067756D" w:rsidRPr="00013CAD" w:rsidRDefault="002F35F8" w:rsidP="00C245E8">
      <w:pPr>
        <w:pStyle w:val="Body2"/>
        <w:ind w:left="680"/>
        <w:rPr>
          <w:rFonts w:cs="Arial"/>
          <w:sz w:val="18"/>
          <w:szCs w:val="18"/>
        </w:rPr>
      </w:pPr>
      <w:r w:rsidRPr="00013CAD">
        <w:rPr>
          <w:rFonts w:cs="Arial"/>
          <w:sz w:val="18"/>
          <w:szCs w:val="18"/>
        </w:rPr>
        <w:t xml:space="preserve">Each </w:t>
      </w:r>
      <w:r w:rsidR="0067756D" w:rsidRPr="00013CAD">
        <w:rPr>
          <w:rFonts w:cs="Arial"/>
          <w:sz w:val="18"/>
          <w:szCs w:val="18"/>
        </w:rPr>
        <w:t xml:space="preserve">Manager should be satisfied that </w:t>
      </w:r>
      <w:r w:rsidR="004D47DF">
        <w:rPr>
          <w:rFonts w:cs="Arial"/>
          <w:sz w:val="18"/>
          <w:szCs w:val="18"/>
        </w:rPr>
        <w:t>its</w:t>
      </w:r>
      <w:r w:rsidR="004D47DF" w:rsidRPr="00013CAD">
        <w:rPr>
          <w:rFonts w:cs="Arial"/>
          <w:sz w:val="18"/>
          <w:szCs w:val="18"/>
        </w:rPr>
        <w:t xml:space="preserve"> </w:t>
      </w:r>
      <w:r w:rsidR="0067756D" w:rsidRPr="00013CAD">
        <w:rPr>
          <w:rFonts w:cs="Arial"/>
          <w:sz w:val="18"/>
          <w:szCs w:val="18"/>
        </w:rPr>
        <w:t xml:space="preserve">Connected Analyst responsible for preparing and issuing </w:t>
      </w:r>
      <w:r w:rsidR="004D47DF">
        <w:rPr>
          <w:rFonts w:cs="Arial"/>
          <w:sz w:val="18"/>
          <w:szCs w:val="18"/>
        </w:rPr>
        <w:t>a</w:t>
      </w:r>
      <w:r w:rsidR="004D47DF" w:rsidRPr="00013CAD">
        <w:rPr>
          <w:rFonts w:cs="Arial"/>
          <w:sz w:val="18"/>
          <w:szCs w:val="18"/>
        </w:rPr>
        <w:t xml:space="preserve"> </w:t>
      </w:r>
      <w:r w:rsidR="0067756D" w:rsidRPr="00013CAD">
        <w:rPr>
          <w:rFonts w:cs="Arial"/>
          <w:sz w:val="18"/>
          <w:szCs w:val="18"/>
        </w:rPr>
        <w:t>research report is not in possession of any information (other than publicly available information) relating to specific matters concerning the Company which will not be included in the Prospectus and which, if made available to the market after admission to listing of the Company’s shares, might affect the price of those shares</w:t>
      </w:r>
      <w:r w:rsidR="00F47ECE">
        <w:rPr>
          <w:rFonts w:cs="Arial"/>
          <w:sz w:val="18"/>
          <w:szCs w:val="18"/>
        </w:rPr>
        <w:t xml:space="preserve"> or any other listed financial instruments</w:t>
      </w:r>
      <w:r w:rsidR="00D97DC2">
        <w:rPr>
          <w:rFonts w:cs="Arial"/>
          <w:sz w:val="18"/>
          <w:szCs w:val="18"/>
        </w:rPr>
        <w:t xml:space="preserve"> of the Company</w:t>
      </w:r>
      <w:r w:rsidR="0067756D" w:rsidRPr="00013CAD">
        <w:rPr>
          <w:rFonts w:cs="Arial"/>
          <w:sz w:val="18"/>
          <w:szCs w:val="18"/>
        </w:rPr>
        <w:t xml:space="preserve">. Both </w:t>
      </w:r>
      <w:r w:rsidR="004D47DF">
        <w:rPr>
          <w:rFonts w:cs="Arial"/>
          <w:sz w:val="18"/>
          <w:szCs w:val="18"/>
        </w:rPr>
        <w:t>such</w:t>
      </w:r>
      <w:r w:rsidR="004D47DF" w:rsidRPr="00013CAD">
        <w:rPr>
          <w:rFonts w:cs="Arial"/>
          <w:sz w:val="18"/>
          <w:szCs w:val="18"/>
        </w:rPr>
        <w:t xml:space="preserve"> </w:t>
      </w:r>
      <w:r w:rsidR="0067756D" w:rsidRPr="00013CAD">
        <w:rPr>
          <w:rFonts w:cs="Arial"/>
          <w:sz w:val="18"/>
          <w:szCs w:val="18"/>
        </w:rPr>
        <w:t xml:space="preserve">Connected Analyst and the Company must appreciate in their dealings with each other that information disclosed by the Company which is or may be price-sensitive must be restricted by ethical barriers to information that will be in the public domain by the time the Prospectus </w:t>
      </w:r>
      <w:r w:rsidR="00766159" w:rsidRPr="00013CAD">
        <w:rPr>
          <w:rFonts w:cs="Arial"/>
          <w:sz w:val="18"/>
          <w:szCs w:val="18"/>
        </w:rPr>
        <w:t>ha</w:t>
      </w:r>
      <w:r w:rsidR="00766159">
        <w:rPr>
          <w:rFonts w:cs="Arial"/>
          <w:sz w:val="18"/>
          <w:szCs w:val="18"/>
        </w:rPr>
        <w:t>s</w:t>
      </w:r>
      <w:r w:rsidR="00766159" w:rsidRPr="00013CAD">
        <w:rPr>
          <w:rFonts w:cs="Arial"/>
          <w:sz w:val="18"/>
          <w:szCs w:val="18"/>
        </w:rPr>
        <w:t xml:space="preserve"> </w:t>
      </w:r>
      <w:r w:rsidR="0067756D" w:rsidRPr="00013CAD">
        <w:rPr>
          <w:rFonts w:cs="Arial"/>
          <w:sz w:val="18"/>
          <w:szCs w:val="18"/>
        </w:rPr>
        <w:t xml:space="preserve">been published. Discussion by </w:t>
      </w:r>
      <w:r w:rsidR="004D47DF">
        <w:rPr>
          <w:rFonts w:cs="Arial"/>
          <w:sz w:val="18"/>
          <w:szCs w:val="18"/>
        </w:rPr>
        <w:t>such</w:t>
      </w:r>
      <w:r w:rsidR="004D47DF" w:rsidRPr="00013CAD">
        <w:rPr>
          <w:rFonts w:cs="Arial"/>
          <w:sz w:val="18"/>
          <w:szCs w:val="18"/>
        </w:rPr>
        <w:t xml:space="preserve"> </w:t>
      </w:r>
      <w:r w:rsidR="0067756D" w:rsidRPr="00013CAD">
        <w:rPr>
          <w:rFonts w:cs="Arial"/>
          <w:sz w:val="18"/>
          <w:szCs w:val="18"/>
        </w:rPr>
        <w:t>Connected Analyst with the Company of forecasts or prospects beyond those that will be contained in, or contemplated by, the Prospectus, even in the most general terms, must be avoided.</w:t>
      </w:r>
    </w:p>
    <w:p w14:paraId="3449FA8D" w14:textId="77777777" w:rsidR="0067756D" w:rsidRPr="00013CAD" w:rsidRDefault="004D47DF" w:rsidP="00C245E8">
      <w:pPr>
        <w:pStyle w:val="Body2"/>
        <w:ind w:left="680"/>
        <w:rPr>
          <w:rFonts w:cs="Arial"/>
          <w:sz w:val="18"/>
          <w:szCs w:val="18"/>
        </w:rPr>
      </w:pPr>
      <w:r>
        <w:rPr>
          <w:rFonts w:cs="Arial"/>
          <w:sz w:val="18"/>
          <w:szCs w:val="18"/>
        </w:rPr>
        <w:t>A</w:t>
      </w:r>
      <w:r w:rsidRPr="00013CAD">
        <w:rPr>
          <w:rFonts w:cs="Arial"/>
          <w:sz w:val="18"/>
          <w:szCs w:val="18"/>
        </w:rPr>
        <w:t xml:space="preserve"> </w:t>
      </w:r>
      <w:r w:rsidR="0067756D" w:rsidRPr="00013CAD">
        <w:rPr>
          <w:rFonts w:cs="Arial"/>
          <w:sz w:val="18"/>
          <w:szCs w:val="18"/>
        </w:rPr>
        <w:t xml:space="preserve">Connected Analyst should not attend any drafting, due diligence or verification meetings in connection with the preparation of the Prospectus. </w:t>
      </w:r>
      <w:r>
        <w:rPr>
          <w:rFonts w:cs="Arial"/>
          <w:sz w:val="18"/>
          <w:szCs w:val="18"/>
        </w:rPr>
        <w:t>A</w:t>
      </w:r>
      <w:r w:rsidRPr="00013CAD">
        <w:rPr>
          <w:rFonts w:cs="Arial"/>
          <w:sz w:val="18"/>
          <w:szCs w:val="18"/>
        </w:rPr>
        <w:t xml:space="preserve"> </w:t>
      </w:r>
      <w:r w:rsidR="0067756D" w:rsidRPr="00013CAD">
        <w:rPr>
          <w:rFonts w:cs="Arial"/>
          <w:sz w:val="18"/>
          <w:szCs w:val="18"/>
        </w:rPr>
        <w:t>Connected Analyst may</w:t>
      </w:r>
      <w:r w:rsidR="0067756D" w:rsidRPr="00013CAD">
        <w:rPr>
          <w:rFonts w:cs="Arial"/>
          <w:snapToGrid w:val="0"/>
          <w:sz w:val="18"/>
          <w:szCs w:val="18"/>
        </w:rPr>
        <w:t>, however,</w:t>
      </w:r>
      <w:r w:rsidR="0067756D" w:rsidRPr="00013CAD">
        <w:rPr>
          <w:rFonts w:cs="Arial"/>
          <w:sz w:val="18"/>
          <w:szCs w:val="18"/>
        </w:rPr>
        <w:t xml:space="preserve"> participate in analyst briefings with the Company for the purpose of preparing a research report.</w:t>
      </w:r>
    </w:p>
    <w:p w14:paraId="151DB3BD" w14:textId="77777777" w:rsidR="0067756D" w:rsidRPr="003F489B" w:rsidRDefault="00F47ECE" w:rsidP="00FB2E53">
      <w:pPr>
        <w:pStyle w:val="Level2"/>
        <w:tabs>
          <w:tab w:val="clear" w:pos="1531"/>
          <w:tab w:val="num" w:pos="2040"/>
        </w:tabs>
        <w:ind w:left="2012"/>
        <w:rPr>
          <w:b/>
          <w:bCs/>
        </w:rPr>
      </w:pPr>
      <w:r w:rsidRPr="003F489B">
        <w:rPr>
          <w:b/>
          <w:bCs/>
        </w:rPr>
        <w:t>No distribution under the same cover as the Prospectus</w:t>
      </w:r>
    </w:p>
    <w:p w14:paraId="2F851C33" w14:textId="77777777" w:rsidR="0067756D" w:rsidRPr="00013CAD" w:rsidRDefault="0067756D" w:rsidP="00C245E8">
      <w:pPr>
        <w:pStyle w:val="Body2"/>
        <w:ind w:left="680"/>
        <w:rPr>
          <w:rFonts w:cs="Arial"/>
          <w:sz w:val="18"/>
          <w:szCs w:val="18"/>
        </w:rPr>
      </w:pPr>
      <w:r w:rsidRPr="00013CAD">
        <w:rPr>
          <w:rFonts w:cs="Arial"/>
          <w:sz w:val="18"/>
          <w:szCs w:val="18"/>
        </w:rPr>
        <w:t>No research report shall be sent under the same cover</w:t>
      </w:r>
      <w:r w:rsidR="00817065">
        <w:rPr>
          <w:rFonts w:cs="Arial"/>
          <w:sz w:val="18"/>
          <w:szCs w:val="18"/>
        </w:rPr>
        <w:t>/ in the same e-mail</w:t>
      </w:r>
      <w:r w:rsidRPr="00013CAD">
        <w:rPr>
          <w:rFonts w:cs="Arial"/>
          <w:sz w:val="18"/>
          <w:szCs w:val="18"/>
        </w:rPr>
        <w:t xml:space="preserve"> as the Prospectus or any other document issued by or on behalf of the Company in connection with the Offering.</w:t>
      </w:r>
    </w:p>
    <w:p w14:paraId="20978F65" w14:textId="77777777" w:rsidR="0067756D" w:rsidRPr="007B51C2" w:rsidRDefault="0067756D" w:rsidP="007B51C2">
      <w:pPr>
        <w:pStyle w:val="Level2"/>
        <w:tabs>
          <w:tab w:val="clear" w:pos="1531"/>
          <w:tab w:val="num" w:pos="2040"/>
        </w:tabs>
        <w:ind w:left="2012"/>
        <w:rPr>
          <w:b/>
          <w:bCs/>
        </w:rPr>
      </w:pPr>
      <w:r w:rsidRPr="007B51C2">
        <w:rPr>
          <w:b/>
          <w:bCs/>
        </w:rPr>
        <w:t>No distribution to the press or at management roadshows</w:t>
      </w:r>
    </w:p>
    <w:p w14:paraId="7164D860" w14:textId="77777777" w:rsidR="0067756D" w:rsidRPr="00013CAD" w:rsidRDefault="0067756D" w:rsidP="00C245E8">
      <w:pPr>
        <w:pStyle w:val="Body2"/>
        <w:ind w:left="680"/>
        <w:rPr>
          <w:rFonts w:cs="Arial"/>
          <w:sz w:val="18"/>
          <w:szCs w:val="18"/>
        </w:rPr>
      </w:pPr>
      <w:r w:rsidRPr="00013CAD">
        <w:rPr>
          <w:rFonts w:cs="Arial"/>
          <w:sz w:val="18"/>
          <w:szCs w:val="18"/>
        </w:rPr>
        <w:t>Research reports should not be sent to the press or other media without the prior approval of the Manager</w:t>
      </w:r>
      <w:r w:rsidR="00190A40">
        <w:rPr>
          <w:rFonts w:cs="Arial"/>
          <w:sz w:val="18"/>
          <w:szCs w:val="18"/>
        </w:rPr>
        <w:t>s’</w:t>
      </w:r>
      <w:r w:rsidR="00F47ECE">
        <w:rPr>
          <w:rFonts w:cs="Arial"/>
          <w:sz w:val="18"/>
          <w:szCs w:val="18"/>
        </w:rPr>
        <w:t xml:space="preserve"> external</w:t>
      </w:r>
      <w:r w:rsidRPr="00013CAD">
        <w:rPr>
          <w:rFonts w:cs="Arial"/>
          <w:sz w:val="18"/>
          <w:szCs w:val="18"/>
        </w:rPr>
        <w:t xml:space="preserve"> legal counsel. No research report should be distributed at, or with invitations to, any management roadshow. </w:t>
      </w:r>
    </w:p>
    <w:p w14:paraId="44CDCE0A" w14:textId="77777777" w:rsidR="0067756D" w:rsidRPr="00E61B1B" w:rsidRDefault="0067756D" w:rsidP="00E61B1B">
      <w:pPr>
        <w:pStyle w:val="Level2"/>
        <w:tabs>
          <w:tab w:val="clear" w:pos="1531"/>
          <w:tab w:val="num" w:pos="2040"/>
        </w:tabs>
        <w:ind w:left="2012"/>
        <w:rPr>
          <w:b/>
          <w:bCs/>
        </w:rPr>
      </w:pPr>
      <w:r w:rsidRPr="00E61B1B">
        <w:rPr>
          <w:b/>
          <w:bCs/>
        </w:rPr>
        <w:t>Electronic distribution</w:t>
      </w:r>
    </w:p>
    <w:p w14:paraId="26663684" w14:textId="77777777" w:rsidR="0067756D" w:rsidRPr="00013CAD" w:rsidRDefault="0067756D" w:rsidP="00C245E8">
      <w:pPr>
        <w:pStyle w:val="Body2"/>
        <w:ind w:left="680"/>
        <w:rPr>
          <w:rFonts w:cs="Arial"/>
          <w:snapToGrid w:val="0"/>
          <w:sz w:val="18"/>
          <w:szCs w:val="18"/>
        </w:rPr>
      </w:pPr>
      <w:r w:rsidRPr="002B2584">
        <w:rPr>
          <w:rFonts w:cs="Arial"/>
          <w:sz w:val="18"/>
          <w:szCs w:val="18"/>
        </w:rPr>
        <w:t>Research reports may be distributed in electronic form provided that any electronic message or medium to which it is attached has</w:t>
      </w:r>
      <w:r w:rsidRPr="002B2584" w:rsidDel="00B02DF9">
        <w:rPr>
          <w:rFonts w:cs="Arial"/>
          <w:sz w:val="18"/>
          <w:szCs w:val="18"/>
        </w:rPr>
        <w:t xml:space="preserve"> </w:t>
      </w:r>
      <w:r w:rsidRPr="002B2584">
        <w:rPr>
          <w:rFonts w:cs="Arial"/>
          <w:sz w:val="18"/>
          <w:szCs w:val="18"/>
        </w:rPr>
        <w:t>prominently displayed the legend attached hereto as Appendix 2.</w:t>
      </w:r>
      <w:r w:rsidR="002B2584" w:rsidRPr="00F10FD1">
        <w:rPr>
          <w:rFonts w:cs="Arial"/>
          <w:sz w:val="18"/>
          <w:szCs w:val="18"/>
        </w:rPr>
        <w:t xml:space="preserve"> </w:t>
      </w:r>
      <w:r w:rsidR="002B2584" w:rsidRPr="002B2584">
        <w:rPr>
          <w:rFonts w:cs="Arial"/>
          <w:sz w:val="18"/>
          <w:szCs w:val="18"/>
        </w:rPr>
        <w:lastRenderedPageBreak/>
        <w:t>Research reports may be distributed</w:t>
      </w:r>
      <w:r w:rsidR="002B2584" w:rsidRPr="00F10FD1">
        <w:rPr>
          <w:rFonts w:cs="Arial"/>
          <w:sz w:val="18"/>
          <w:szCs w:val="18"/>
        </w:rPr>
        <w:t xml:space="preserve"> </w:t>
      </w:r>
      <w:r w:rsidR="002B2584" w:rsidRPr="002B2584">
        <w:rPr>
          <w:rFonts w:cs="Arial"/>
          <w:sz w:val="18"/>
          <w:szCs w:val="18"/>
        </w:rPr>
        <w:t xml:space="preserve">or made available </w:t>
      </w:r>
      <w:r w:rsidR="002B2584">
        <w:rPr>
          <w:rFonts w:cs="Arial"/>
          <w:sz w:val="18"/>
          <w:szCs w:val="18"/>
        </w:rPr>
        <w:t xml:space="preserve">on a web page provided an adequate </w:t>
      </w:r>
      <w:r w:rsidR="002B2584" w:rsidRPr="00F10FD1">
        <w:rPr>
          <w:rFonts w:cs="Arial"/>
          <w:sz w:val="18"/>
          <w:szCs w:val="18"/>
        </w:rPr>
        <w:t xml:space="preserve">website blocker is put in place (requiring certification that site users are not in the United States) to prevent US investors from accessing </w:t>
      </w:r>
      <w:r w:rsidR="00146F4E">
        <w:rPr>
          <w:rFonts w:cs="Arial"/>
          <w:sz w:val="18"/>
          <w:szCs w:val="18"/>
        </w:rPr>
        <w:t xml:space="preserve">research reports </w:t>
      </w:r>
      <w:r w:rsidR="00F10FD1" w:rsidRPr="00F10FD1">
        <w:rPr>
          <w:rFonts w:cs="Arial"/>
          <w:sz w:val="18"/>
          <w:szCs w:val="18"/>
        </w:rPr>
        <w:t xml:space="preserve">and provided that </w:t>
      </w:r>
      <w:r w:rsidR="00F10FD1">
        <w:rPr>
          <w:rFonts w:cs="Arial"/>
          <w:sz w:val="18"/>
          <w:szCs w:val="18"/>
        </w:rPr>
        <w:t xml:space="preserve">a </w:t>
      </w:r>
      <w:r w:rsidR="00F10FD1" w:rsidRPr="002B2584">
        <w:rPr>
          <w:rFonts w:cs="Arial"/>
          <w:sz w:val="18"/>
          <w:szCs w:val="18"/>
        </w:rPr>
        <w:t xml:space="preserve">legend </w:t>
      </w:r>
      <w:r w:rsidR="00F10FD1">
        <w:rPr>
          <w:rFonts w:cs="Arial"/>
          <w:sz w:val="18"/>
          <w:szCs w:val="18"/>
        </w:rPr>
        <w:t xml:space="preserve">similar to that </w:t>
      </w:r>
      <w:r w:rsidR="00F10FD1" w:rsidRPr="002B2584">
        <w:rPr>
          <w:rFonts w:cs="Arial"/>
          <w:sz w:val="18"/>
          <w:szCs w:val="18"/>
        </w:rPr>
        <w:t>attached hereto as Appendix 2</w:t>
      </w:r>
      <w:r w:rsidR="00F10FD1">
        <w:rPr>
          <w:rFonts w:cs="Arial"/>
          <w:sz w:val="18"/>
          <w:szCs w:val="18"/>
        </w:rPr>
        <w:t xml:space="preserve"> is included</w:t>
      </w:r>
      <w:r w:rsidR="002B2584" w:rsidRPr="00F10FD1">
        <w:rPr>
          <w:rFonts w:cs="Arial"/>
          <w:sz w:val="18"/>
          <w:szCs w:val="18"/>
        </w:rPr>
        <w:t>.</w:t>
      </w:r>
      <w:r w:rsidRPr="002B2584">
        <w:rPr>
          <w:rStyle w:val="Fotnotereferanse"/>
          <w:rFonts w:cs="Arial"/>
          <w:sz w:val="18"/>
          <w:szCs w:val="18"/>
        </w:rPr>
        <w:footnoteReference w:id="9"/>
      </w:r>
    </w:p>
    <w:p w14:paraId="3A463A79" w14:textId="77777777" w:rsidR="0067756D" w:rsidRPr="00240B83" w:rsidRDefault="0067756D" w:rsidP="00240B83">
      <w:pPr>
        <w:pStyle w:val="Level2"/>
        <w:tabs>
          <w:tab w:val="clear" w:pos="1531"/>
          <w:tab w:val="num" w:pos="2040"/>
        </w:tabs>
        <w:ind w:left="2012"/>
        <w:rPr>
          <w:b/>
          <w:bCs/>
        </w:rPr>
      </w:pPr>
      <w:r w:rsidRPr="00240B83">
        <w:rPr>
          <w:b/>
          <w:bCs/>
        </w:rPr>
        <w:t>No reissue</w:t>
      </w:r>
    </w:p>
    <w:p w14:paraId="333E099A" w14:textId="77777777" w:rsidR="0067756D" w:rsidRPr="00013CAD" w:rsidRDefault="00857A46" w:rsidP="00C245E8">
      <w:pPr>
        <w:pStyle w:val="Body2"/>
        <w:ind w:left="680"/>
        <w:rPr>
          <w:rFonts w:cs="Arial"/>
          <w:sz w:val="18"/>
          <w:szCs w:val="18"/>
        </w:rPr>
      </w:pPr>
      <w:r>
        <w:rPr>
          <w:rFonts w:cs="Arial"/>
          <w:sz w:val="18"/>
          <w:szCs w:val="18"/>
        </w:rPr>
        <w:t xml:space="preserve">Research reports </w:t>
      </w:r>
      <w:r w:rsidR="0067756D" w:rsidRPr="00013CAD">
        <w:rPr>
          <w:rFonts w:cs="Arial"/>
          <w:sz w:val="18"/>
          <w:szCs w:val="18"/>
        </w:rPr>
        <w:t>should not be reissued, or otherwise made available to potential investors, at any time during the Blackout Period</w:t>
      </w:r>
      <w:r w:rsidR="005461D0" w:rsidRPr="005461D0">
        <w:rPr>
          <w:rFonts w:cs="Arial"/>
          <w:sz w:val="18"/>
          <w:szCs w:val="18"/>
        </w:rPr>
        <w:t>, provided that research reports may be re-distributed during the Blackout Period to investors that previously received such research reports during the distribution window</w:t>
      </w:r>
      <w:r w:rsidR="005461D0" w:rsidRPr="00F5322A">
        <w:rPr>
          <w:rFonts w:cs="Arial"/>
          <w:sz w:val="18"/>
          <w:szCs w:val="18"/>
        </w:rPr>
        <w:t>, subject to each Manager's internal policy</w:t>
      </w:r>
      <w:r w:rsidR="0067756D" w:rsidRPr="00013CAD">
        <w:rPr>
          <w:rFonts w:cs="Arial"/>
          <w:sz w:val="18"/>
          <w:szCs w:val="18"/>
        </w:rPr>
        <w:t>.</w:t>
      </w:r>
      <w:r w:rsidR="00E257ED" w:rsidRPr="00013CAD">
        <w:rPr>
          <w:rFonts w:cs="Arial"/>
          <w:sz w:val="18"/>
          <w:szCs w:val="18"/>
        </w:rPr>
        <w:t xml:space="preserve"> </w:t>
      </w:r>
    </w:p>
    <w:p w14:paraId="6E032405" w14:textId="77777777" w:rsidR="0067756D" w:rsidRPr="005F782A" w:rsidRDefault="0067756D" w:rsidP="005F782A">
      <w:pPr>
        <w:pStyle w:val="Level2"/>
        <w:tabs>
          <w:tab w:val="clear" w:pos="1531"/>
          <w:tab w:val="num" w:pos="2040"/>
        </w:tabs>
        <w:ind w:left="2012"/>
        <w:rPr>
          <w:b/>
          <w:bCs/>
        </w:rPr>
      </w:pPr>
      <w:r w:rsidRPr="005F782A">
        <w:rPr>
          <w:b/>
          <w:bCs/>
        </w:rPr>
        <w:t xml:space="preserve">Corrective research </w:t>
      </w:r>
      <w:r w:rsidR="00766159" w:rsidRPr="005F782A">
        <w:rPr>
          <w:b/>
          <w:bCs/>
        </w:rPr>
        <w:t xml:space="preserve">reports </w:t>
      </w:r>
      <w:r w:rsidRPr="005F782A">
        <w:rPr>
          <w:b/>
          <w:bCs/>
        </w:rPr>
        <w:t>and significant news or a significant event</w:t>
      </w:r>
    </w:p>
    <w:p w14:paraId="0989D42C" w14:textId="77777777" w:rsidR="0067756D" w:rsidRPr="00013CAD" w:rsidRDefault="0067756D" w:rsidP="00C245E8">
      <w:pPr>
        <w:pStyle w:val="Body2"/>
        <w:ind w:left="680"/>
        <w:rPr>
          <w:rFonts w:cs="Arial"/>
          <w:sz w:val="18"/>
          <w:szCs w:val="18"/>
        </w:rPr>
      </w:pPr>
      <w:r w:rsidRPr="00013CAD">
        <w:rPr>
          <w:rFonts w:cs="Arial"/>
          <w:sz w:val="18"/>
          <w:szCs w:val="18"/>
        </w:rPr>
        <w:t>At the discretion of the Manager</w:t>
      </w:r>
      <w:r w:rsidR="002F35F8" w:rsidRPr="00013CAD">
        <w:rPr>
          <w:rFonts w:cs="Arial"/>
          <w:sz w:val="18"/>
          <w:szCs w:val="18"/>
        </w:rPr>
        <w:t>s</w:t>
      </w:r>
      <w:r w:rsidR="00873D3F" w:rsidRPr="00013CAD">
        <w:rPr>
          <w:rFonts w:cs="Arial"/>
          <w:sz w:val="18"/>
          <w:szCs w:val="18"/>
        </w:rPr>
        <w:t xml:space="preserve">, </w:t>
      </w:r>
      <w:r w:rsidRPr="00013CAD">
        <w:rPr>
          <w:rFonts w:cs="Arial"/>
          <w:sz w:val="18"/>
          <w:szCs w:val="18"/>
        </w:rPr>
        <w:t xml:space="preserve"> </w:t>
      </w:r>
      <w:r w:rsidR="00766159">
        <w:rPr>
          <w:rFonts w:cs="Arial"/>
          <w:sz w:val="18"/>
          <w:szCs w:val="18"/>
        </w:rPr>
        <w:t xml:space="preserve">a </w:t>
      </w:r>
      <w:r w:rsidRPr="00013CAD">
        <w:rPr>
          <w:rFonts w:cs="Arial"/>
          <w:sz w:val="18"/>
          <w:szCs w:val="18"/>
        </w:rPr>
        <w:t xml:space="preserve">research </w:t>
      </w:r>
      <w:r w:rsidR="00766159">
        <w:rPr>
          <w:rFonts w:cs="Arial"/>
          <w:sz w:val="18"/>
          <w:szCs w:val="18"/>
        </w:rPr>
        <w:t xml:space="preserve">report </w:t>
      </w:r>
      <w:r w:rsidRPr="00013CAD">
        <w:rPr>
          <w:rFonts w:cs="Arial"/>
          <w:sz w:val="18"/>
          <w:szCs w:val="18"/>
        </w:rPr>
        <w:t xml:space="preserve">issued </w:t>
      </w:r>
      <w:r w:rsidR="004D47DF">
        <w:rPr>
          <w:rFonts w:cs="Arial"/>
          <w:sz w:val="18"/>
          <w:szCs w:val="18"/>
        </w:rPr>
        <w:t xml:space="preserve">by any Manager </w:t>
      </w:r>
      <w:r w:rsidR="00A2020E">
        <w:rPr>
          <w:rFonts w:cs="Arial"/>
          <w:sz w:val="18"/>
          <w:szCs w:val="18"/>
        </w:rPr>
        <w:t>during the Restricted Period/</w:t>
      </w:r>
      <w:r w:rsidRPr="00013CAD">
        <w:rPr>
          <w:rFonts w:cs="Arial"/>
          <w:sz w:val="18"/>
          <w:szCs w:val="18"/>
        </w:rPr>
        <w:t xml:space="preserve">prior to the Blackout Period may be subject to correction in respect of factual errors which become apparent on publication of the Prospectus. Additional procedures regarding updating and revising research </w:t>
      </w:r>
      <w:r w:rsidR="00766159">
        <w:rPr>
          <w:rFonts w:cs="Arial"/>
          <w:sz w:val="18"/>
          <w:szCs w:val="18"/>
        </w:rPr>
        <w:t>reports</w:t>
      </w:r>
      <w:r w:rsidR="00766159" w:rsidRPr="00013CAD">
        <w:rPr>
          <w:rFonts w:cs="Arial"/>
          <w:sz w:val="18"/>
          <w:szCs w:val="18"/>
        </w:rPr>
        <w:t xml:space="preserve"> </w:t>
      </w:r>
      <w:r w:rsidRPr="00013CAD">
        <w:rPr>
          <w:rFonts w:cs="Arial"/>
          <w:sz w:val="18"/>
          <w:szCs w:val="18"/>
        </w:rPr>
        <w:t xml:space="preserve">are set out in Appendix 3. </w:t>
      </w:r>
    </w:p>
    <w:p w14:paraId="079D554F" w14:textId="77777777" w:rsidR="00455809" w:rsidRDefault="0067756D" w:rsidP="00C245E8">
      <w:pPr>
        <w:pStyle w:val="Body2"/>
        <w:ind w:left="680"/>
        <w:rPr>
          <w:rFonts w:cs="Arial"/>
          <w:snapToGrid w:val="0"/>
          <w:sz w:val="18"/>
          <w:szCs w:val="18"/>
        </w:rPr>
      </w:pPr>
      <w:r w:rsidRPr="00013CAD">
        <w:rPr>
          <w:rFonts w:cs="Arial"/>
          <w:sz w:val="18"/>
          <w:szCs w:val="18"/>
        </w:rPr>
        <w:t xml:space="preserve">In certain circumstances, it may also be appropriate to issue </w:t>
      </w:r>
      <w:r w:rsidR="00766159">
        <w:rPr>
          <w:rFonts w:cs="Arial"/>
          <w:sz w:val="18"/>
          <w:szCs w:val="18"/>
        </w:rPr>
        <w:t xml:space="preserve">a </w:t>
      </w:r>
      <w:r w:rsidRPr="00013CAD">
        <w:rPr>
          <w:rFonts w:cs="Arial"/>
          <w:sz w:val="18"/>
          <w:szCs w:val="18"/>
        </w:rPr>
        <w:t xml:space="preserve">research </w:t>
      </w:r>
      <w:r w:rsidR="00766159">
        <w:rPr>
          <w:rFonts w:cs="Arial"/>
          <w:sz w:val="18"/>
          <w:szCs w:val="18"/>
        </w:rPr>
        <w:t xml:space="preserve">report </w:t>
      </w:r>
      <w:r w:rsidRPr="00013CAD">
        <w:rPr>
          <w:rFonts w:cs="Arial"/>
          <w:sz w:val="18"/>
          <w:szCs w:val="18"/>
        </w:rPr>
        <w:t xml:space="preserve">following the receipt of </w:t>
      </w:r>
      <w:r w:rsidRPr="00013CAD">
        <w:rPr>
          <w:rFonts w:cs="Arial"/>
          <w:snapToGrid w:val="0"/>
          <w:sz w:val="18"/>
          <w:szCs w:val="18"/>
        </w:rPr>
        <w:t xml:space="preserve">significant news or a significant event regarding the Company (meaning any news or event that is expected to have a material impact on, or that is expected to cause a material change to, the Company’s operations, earnings or financial </w:t>
      </w:r>
      <w:r w:rsidRPr="00857A46">
        <w:rPr>
          <w:rFonts w:cs="Arial"/>
          <w:snapToGrid w:val="0"/>
          <w:sz w:val="18"/>
          <w:szCs w:val="18"/>
        </w:rPr>
        <w:t xml:space="preserve">condition). </w:t>
      </w:r>
    </w:p>
    <w:p w14:paraId="39DE6974" w14:textId="77777777" w:rsidR="0067756D" w:rsidRPr="00455809" w:rsidRDefault="0067756D" w:rsidP="00455809">
      <w:pPr>
        <w:pStyle w:val="Level2"/>
        <w:tabs>
          <w:tab w:val="clear" w:pos="1531"/>
          <w:tab w:val="num" w:pos="2040"/>
        </w:tabs>
        <w:ind w:left="2012"/>
        <w:rPr>
          <w:b/>
          <w:bCs/>
        </w:rPr>
      </w:pPr>
      <w:r w:rsidRPr="00455809">
        <w:rPr>
          <w:b/>
          <w:bCs/>
        </w:rPr>
        <w:t>General</w:t>
      </w:r>
    </w:p>
    <w:p w14:paraId="248051FF" w14:textId="77777777" w:rsidR="0067756D" w:rsidRDefault="004D47DF" w:rsidP="00C245E8">
      <w:pPr>
        <w:pStyle w:val="Body2"/>
        <w:ind w:left="680"/>
        <w:rPr>
          <w:rFonts w:cs="Arial"/>
          <w:sz w:val="18"/>
          <w:szCs w:val="18"/>
        </w:rPr>
      </w:pPr>
      <w:r>
        <w:rPr>
          <w:rFonts w:cs="Arial"/>
          <w:sz w:val="18"/>
          <w:szCs w:val="18"/>
        </w:rPr>
        <w:t>Each</w:t>
      </w:r>
      <w:r w:rsidRPr="00857A46">
        <w:rPr>
          <w:rFonts w:cs="Arial"/>
          <w:sz w:val="18"/>
          <w:szCs w:val="18"/>
        </w:rPr>
        <w:t xml:space="preserve"> </w:t>
      </w:r>
      <w:r w:rsidR="00857A46">
        <w:rPr>
          <w:rFonts w:cs="Arial"/>
          <w:sz w:val="18"/>
          <w:szCs w:val="18"/>
        </w:rPr>
        <w:t>Manager</w:t>
      </w:r>
      <w:r w:rsidR="0067756D" w:rsidRPr="00857A46">
        <w:rPr>
          <w:rFonts w:cs="Arial"/>
          <w:sz w:val="18"/>
          <w:szCs w:val="18"/>
        </w:rPr>
        <w:t xml:space="preserve"> </w:t>
      </w:r>
      <w:r>
        <w:rPr>
          <w:rFonts w:cs="Arial"/>
          <w:sz w:val="18"/>
          <w:szCs w:val="18"/>
        </w:rPr>
        <w:t>issuing</w:t>
      </w:r>
      <w:r w:rsidRPr="00857A46">
        <w:rPr>
          <w:rFonts w:cs="Arial"/>
          <w:sz w:val="18"/>
          <w:szCs w:val="18"/>
        </w:rPr>
        <w:t xml:space="preserve"> </w:t>
      </w:r>
      <w:r w:rsidR="006749FC">
        <w:rPr>
          <w:rFonts w:cs="Arial"/>
          <w:sz w:val="18"/>
          <w:szCs w:val="18"/>
        </w:rPr>
        <w:t>a</w:t>
      </w:r>
      <w:r w:rsidR="006749FC" w:rsidRPr="00857A46">
        <w:rPr>
          <w:rFonts w:cs="Arial"/>
          <w:sz w:val="18"/>
          <w:szCs w:val="18"/>
        </w:rPr>
        <w:t xml:space="preserve"> </w:t>
      </w:r>
      <w:r w:rsidR="0067756D" w:rsidRPr="00857A46">
        <w:rPr>
          <w:rFonts w:cs="Arial"/>
          <w:sz w:val="18"/>
          <w:szCs w:val="18"/>
        </w:rPr>
        <w:t>research report will be</w:t>
      </w:r>
      <w:r w:rsidR="0067756D" w:rsidRPr="00013CAD">
        <w:rPr>
          <w:rFonts w:cs="Arial"/>
          <w:sz w:val="18"/>
          <w:szCs w:val="18"/>
        </w:rPr>
        <w:t xml:space="preserve"> responsible for ensuring that all applicable legal and regulatory requirements in relation to the publication and distribution of </w:t>
      </w:r>
      <w:r w:rsidR="006749FC">
        <w:rPr>
          <w:rFonts w:cs="Arial"/>
          <w:sz w:val="18"/>
          <w:szCs w:val="18"/>
        </w:rPr>
        <w:t>such</w:t>
      </w:r>
      <w:r w:rsidR="006749FC" w:rsidRPr="00013CAD">
        <w:rPr>
          <w:rFonts w:cs="Arial"/>
          <w:sz w:val="18"/>
          <w:szCs w:val="18"/>
        </w:rPr>
        <w:t xml:space="preserve"> </w:t>
      </w:r>
      <w:r w:rsidR="0067756D" w:rsidRPr="00013CAD">
        <w:rPr>
          <w:rFonts w:cs="Arial"/>
          <w:sz w:val="18"/>
          <w:szCs w:val="18"/>
        </w:rPr>
        <w:t xml:space="preserve">report are complied with. A Manager’s Connected Analysts should generally not communicate with the investment banking personnel of </w:t>
      </w:r>
      <w:r>
        <w:rPr>
          <w:rFonts w:cs="Arial"/>
          <w:sz w:val="18"/>
          <w:szCs w:val="18"/>
        </w:rPr>
        <w:t>such</w:t>
      </w:r>
      <w:r w:rsidRPr="00013CAD">
        <w:rPr>
          <w:rFonts w:cs="Arial"/>
          <w:sz w:val="18"/>
          <w:szCs w:val="18"/>
        </w:rPr>
        <w:t xml:space="preserve"> </w:t>
      </w:r>
      <w:r w:rsidR="0067756D" w:rsidRPr="00013CAD">
        <w:rPr>
          <w:rFonts w:cs="Arial"/>
          <w:sz w:val="18"/>
          <w:szCs w:val="18"/>
        </w:rPr>
        <w:t>Manager or any other syndicate member with respect to the Offering.</w:t>
      </w:r>
    </w:p>
    <w:p w14:paraId="69D668B8" w14:textId="77777777" w:rsidR="004B6F03" w:rsidRPr="00013CAD" w:rsidRDefault="004B6F03" w:rsidP="00C245E8">
      <w:pPr>
        <w:pStyle w:val="Body2"/>
        <w:ind w:left="680"/>
        <w:rPr>
          <w:rFonts w:cs="Arial"/>
          <w:sz w:val="18"/>
          <w:szCs w:val="18"/>
        </w:rPr>
      </w:pPr>
    </w:p>
    <w:p w14:paraId="617C46D0" w14:textId="77777777" w:rsidR="0067756D" w:rsidRPr="003E7C40" w:rsidRDefault="004B6F03" w:rsidP="003E7C40">
      <w:pPr>
        <w:pStyle w:val="Level1"/>
        <w:rPr>
          <w:rFonts w:cs="Arial"/>
          <w:szCs w:val="22"/>
        </w:rPr>
      </w:pPr>
      <w:bookmarkStart w:id="25" w:name="_Toc260049871"/>
      <w:bookmarkStart w:id="26" w:name="_Toc292783578"/>
      <w:r w:rsidRPr="003E7C40">
        <w:rPr>
          <w:rFonts w:cs="Arial"/>
          <w:szCs w:val="22"/>
        </w:rPr>
        <w:tab/>
      </w:r>
      <w:r w:rsidR="0067756D" w:rsidRPr="003E7C40">
        <w:rPr>
          <w:rFonts w:cs="Arial"/>
          <w:szCs w:val="22"/>
        </w:rPr>
        <w:t>Content of Research</w:t>
      </w:r>
      <w:bookmarkEnd w:id="25"/>
      <w:bookmarkEnd w:id="26"/>
    </w:p>
    <w:p w14:paraId="6EA2DFAF" w14:textId="55D54FAF" w:rsidR="00075BB6" w:rsidRDefault="00EE73BE" w:rsidP="004B6F03">
      <w:pPr>
        <w:pStyle w:val="Level2"/>
        <w:tabs>
          <w:tab w:val="clear" w:pos="1531"/>
          <w:tab w:val="num" w:pos="2040"/>
        </w:tabs>
        <w:ind w:left="2012"/>
        <w:rPr>
          <w:b/>
          <w:bCs/>
        </w:rPr>
      </w:pPr>
      <w:r>
        <w:rPr>
          <w:b/>
          <w:bCs/>
        </w:rPr>
        <w:t>Front page</w:t>
      </w:r>
    </w:p>
    <w:p w14:paraId="2F8D1E0F" w14:textId="4FA448C2" w:rsidR="00EE73BE" w:rsidRPr="00873F11" w:rsidRDefault="00036A70" w:rsidP="003F065F">
      <w:pPr>
        <w:pStyle w:val="Level2"/>
        <w:numPr>
          <w:ilvl w:val="0"/>
          <w:numId w:val="0"/>
        </w:numPr>
        <w:ind w:left="680"/>
        <w:rPr>
          <w:sz w:val="18"/>
          <w:szCs w:val="18"/>
        </w:rPr>
      </w:pPr>
      <w:r>
        <w:rPr>
          <w:sz w:val="18"/>
          <w:szCs w:val="18"/>
        </w:rPr>
        <w:t xml:space="preserve">The front page of the research report shall clearly state that the document is marketing </w:t>
      </w:r>
      <w:r w:rsidR="00545CD8">
        <w:rPr>
          <w:sz w:val="18"/>
          <w:szCs w:val="18"/>
        </w:rPr>
        <w:t>communication and not independent investment research</w:t>
      </w:r>
      <w:r w:rsidR="00D460EC">
        <w:rPr>
          <w:sz w:val="18"/>
          <w:szCs w:val="18"/>
        </w:rPr>
        <w:t>.</w:t>
      </w:r>
    </w:p>
    <w:p w14:paraId="77B58FF2" w14:textId="4DFFEFE4" w:rsidR="0067756D" w:rsidRPr="008E56C7" w:rsidRDefault="0067756D" w:rsidP="004B6F03">
      <w:pPr>
        <w:pStyle w:val="Level2"/>
        <w:tabs>
          <w:tab w:val="clear" w:pos="1531"/>
          <w:tab w:val="num" w:pos="2040"/>
        </w:tabs>
        <w:ind w:left="2012"/>
        <w:rPr>
          <w:b/>
          <w:bCs/>
        </w:rPr>
      </w:pPr>
      <w:r w:rsidRPr="008E56C7">
        <w:rPr>
          <w:b/>
          <w:bCs/>
        </w:rPr>
        <w:t>Legends</w:t>
      </w:r>
    </w:p>
    <w:p w14:paraId="0B6036D2" w14:textId="77777777" w:rsidR="0067756D" w:rsidRDefault="006749FC" w:rsidP="004B6F03">
      <w:pPr>
        <w:pStyle w:val="Body2"/>
        <w:ind w:left="680"/>
        <w:rPr>
          <w:rFonts w:cs="Arial"/>
          <w:sz w:val="18"/>
          <w:szCs w:val="18"/>
        </w:rPr>
      </w:pPr>
      <w:r>
        <w:rPr>
          <w:rFonts w:cs="Arial"/>
          <w:sz w:val="18"/>
          <w:szCs w:val="18"/>
        </w:rPr>
        <w:t>Each</w:t>
      </w:r>
      <w:r w:rsidRPr="00013CAD">
        <w:rPr>
          <w:rFonts w:cs="Arial"/>
          <w:sz w:val="18"/>
          <w:szCs w:val="18"/>
        </w:rPr>
        <w:t xml:space="preserve"> </w:t>
      </w:r>
      <w:r w:rsidR="0067756D" w:rsidRPr="00013CAD">
        <w:rPr>
          <w:rFonts w:cs="Arial"/>
          <w:sz w:val="18"/>
          <w:szCs w:val="18"/>
        </w:rPr>
        <w:t xml:space="preserve">research report should contain a legend in large type on the front or inside front cover, the language of which should be substantially to the effect set out in Appendix 1 (for distribution outside the United States). This legend should be included in addition to other customary disclosures, including </w:t>
      </w:r>
      <w:r w:rsidR="0067756D" w:rsidRPr="00013CAD">
        <w:rPr>
          <w:rFonts w:cs="Arial"/>
          <w:sz w:val="18"/>
          <w:szCs w:val="18"/>
        </w:rPr>
        <w:t>that required by local regulation.</w:t>
      </w:r>
    </w:p>
    <w:p w14:paraId="0523CC2B" w14:textId="77777777" w:rsidR="009B1207" w:rsidRPr="00793701" w:rsidRDefault="009B1207" w:rsidP="004B6F03">
      <w:pPr>
        <w:ind w:left="680"/>
        <w:rPr>
          <w:rFonts w:ascii="Verdana" w:hAnsi="Verdana"/>
          <w:sz w:val="18"/>
          <w:szCs w:val="18"/>
        </w:rPr>
      </w:pPr>
    </w:p>
    <w:p w14:paraId="495C31BC" w14:textId="0C77F935" w:rsidR="009B1207" w:rsidRPr="00C245E8" w:rsidRDefault="00D15386" w:rsidP="004B6F03">
      <w:pPr>
        <w:ind w:left="680"/>
        <w:rPr>
          <w:rFonts w:cs="Arial"/>
          <w:sz w:val="18"/>
          <w:szCs w:val="18"/>
        </w:rPr>
      </w:pPr>
      <w:r>
        <w:rPr>
          <w:rFonts w:cs="Arial"/>
          <w:iCs/>
          <w:sz w:val="18"/>
          <w:szCs w:val="18"/>
          <w:lang w:val="en-US"/>
        </w:rPr>
        <w:t>R</w:t>
      </w:r>
      <w:r w:rsidR="00251859" w:rsidRPr="00C245E8">
        <w:rPr>
          <w:rFonts w:cs="Arial"/>
          <w:iCs/>
          <w:sz w:val="18"/>
          <w:szCs w:val="18"/>
          <w:lang w:val="en-US"/>
        </w:rPr>
        <w:t>esearch reports sh</w:t>
      </w:r>
      <w:r w:rsidR="00A62697">
        <w:rPr>
          <w:rFonts w:cs="Arial"/>
          <w:iCs/>
          <w:sz w:val="18"/>
          <w:szCs w:val="18"/>
          <w:lang w:val="en-US"/>
        </w:rPr>
        <w:t>all</w:t>
      </w:r>
      <w:r w:rsidR="00251859" w:rsidRPr="00C245E8">
        <w:rPr>
          <w:rFonts w:cs="Arial"/>
          <w:iCs/>
          <w:sz w:val="18"/>
          <w:szCs w:val="18"/>
          <w:lang w:val="en-US"/>
        </w:rPr>
        <w:t xml:space="preserve"> contain the following </w:t>
      </w:r>
      <w:r w:rsidR="002F1AE5" w:rsidRPr="00B60C9E">
        <w:rPr>
          <w:rFonts w:cs="Arial"/>
          <w:iCs/>
          <w:sz w:val="18"/>
          <w:szCs w:val="18"/>
          <w:lang w:val="en-US"/>
        </w:rPr>
        <w:t>statement</w:t>
      </w:r>
      <w:r w:rsidR="00AF6BDE" w:rsidRPr="00B60C9E">
        <w:rPr>
          <w:rFonts w:cs="Arial"/>
          <w:iCs/>
          <w:sz w:val="18"/>
          <w:szCs w:val="18"/>
          <w:lang w:val="en-US"/>
        </w:rPr>
        <w:t xml:space="preserve"> (or </w:t>
      </w:r>
      <w:r w:rsidR="00AF6BDE" w:rsidRPr="002E3663">
        <w:rPr>
          <w:sz w:val="18"/>
          <w:szCs w:val="18"/>
        </w:rPr>
        <w:t>equivalent)</w:t>
      </w:r>
      <w:r w:rsidR="00251859" w:rsidRPr="002E3663">
        <w:rPr>
          <w:rFonts w:cs="Arial"/>
          <w:iCs/>
          <w:sz w:val="18"/>
          <w:szCs w:val="18"/>
          <w:lang w:val="en-US"/>
        </w:rPr>
        <w:t>:</w:t>
      </w:r>
      <w:r w:rsidR="00251859" w:rsidRPr="002E3663">
        <w:rPr>
          <w:rFonts w:cs="Arial"/>
          <w:i/>
          <w:iCs/>
          <w:sz w:val="18"/>
          <w:szCs w:val="18"/>
          <w:lang w:val="en-US"/>
        </w:rPr>
        <w:t xml:space="preserve"> “</w:t>
      </w:r>
      <w:r w:rsidR="009B1207" w:rsidRPr="002E3663">
        <w:rPr>
          <w:rFonts w:cs="Arial"/>
          <w:i/>
          <w:iCs/>
          <w:sz w:val="18"/>
          <w:szCs w:val="18"/>
          <w:lang w:val="en-US"/>
        </w:rPr>
        <w:t xml:space="preserve">This Report </w:t>
      </w:r>
      <w:r w:rsidR="009B1207" w:rsidRPr="00C245E8">
        <w:rPr>
          <w:rFonts w:cs="Arial"/>
          <w:i/>
          <w:iCs/>
          <w:sz w:val="18"/>
          <w:szCs w:val="18"/>
          <w:lang w:val="en-US"/>
        </w:rPr>
        <w:t xml:space="preserve">has been commissioned and paid for by [name of issuer] to promote the </w:t>
      </w:r>
      <w:r w:rsidR="002E3663" w:rsidRPr="00C245E8">
        <w:rPr>
          <w:rFonts w:cs="Arial"/>
          <w:i/>
          <w:iCs/>
          <w:sz w:val="18"/>
          <w:szCs w:val="18"/>
          <w:lang w:val="en-US"/>
        </w:rPr>
        <w:t>issue</w:t>
      </w:r>
      <w:r w:rsidR="002E3663">
        <w:rPr>
          <w:rFonts w:cs="Arial"/>
          <w:i/>
          <w:iCs/>
          <w:sz w:val="18"/>
          <w:szCs w:val="18"/>
          <w:lang w:val="en-US"/>
        </w:rPr>
        <w:t xml:space="preserve"> and</w:t>
      </w:r>
      <w:r w:rsidR="009B1207" w:rsidRPr="00C245E8">
        <w:rPr>
          <w:rFonts w:cs="Arial"/>
          <w:i/>
          <w:iCs/>
          <w:sz w:val="18"/>
          <w:szCs w:val="18"/>
          <w:lang w:val="en-US"/>
        </w:rPr>
        <w:t xml:space="preserve"> is </w:t>
      </w:r>
      <w:r w:rsidR="009B1207" w:rsidRPr="00C245E8">
        <w:rPr>
          <w:rFonts w:cs="Arial"/>
          <w:i/>
          <w:iCs/>
          <w:sz w:val="18"/>
          <w:szCs w:val="18"/>
          <w:lang w:val="en-US"/>
        </w:rPr>
        <w:t>deemed to constitute an acceptable minor non-monetary benefit as defined in MiFID II.</w:t>
      </w:r>
      <w:r w:rsidR="00251859" w:rsidRPr="00C245E8">
        <w:rPr>
          <w:rFonts w:cs="Arial"/>
          <w:i/>
          <w:iCs/>
          <w:sz w:val="18"/>
          <w:szCs w:val="18"/>
          <w:lang w:val="en-US"/>
        </w:rPr>
        <w:t>”</w:t>
      </w:r>
    </w:p>
    <w:p w14:paraId="70ECE843" w14:textId="77777777" w:rsidR="009B1207" w:rsidRDefault="009B1207" w:rsidP="004B6F03">
      <w:pPr>
        <w:ind w:left="1927"/>
      </w:pPr>
      <w:r>
        <w:rPr>
          <w:lang w:val="en-US"/>
        </w:rPr>
        <w:t> </w:t>
      </w:r>
    </w:p>
    <w:p w14:paraId="4B9752EB" w14:textId="77777777" w:rsidR="0067756D" w:rsidRPr="00DC4448" w:rsidRDefault="0067756D" w:rsidP="00DC4448">
      <w:pPr>
        <w:pStyle w:val="Level2"/>
        <w:tabs>
          <w:tab w:val="clear" w:pos="1531"/>
          <w:tab w:val="num" w:pos="2040"/>
        </w:tabs>
        <w:ind w:left="2012"/>
        <w:rPr>
          <w:b/>
          <w:bCs/>
        </w:rPr>
      </w:pPr>
      <w:r w:rsidRPr="00DC4448">
        <w:rPr>
          <w:b/>
          <w:bCs/>
        </w:rPr>
        <w:t>Inclusion of projections, forecasts and estimates</w:t>
      </w:r>
    </w:p>
    <w:p w14:paraId="0754CF86" w14:textId="77777777" w:rsidR="0067756D" w:rsidRPr="00013CAD" w:rsidRDefault="0067756D" w:rsidP="006D12A4">
      <w:pPr>
        <w:pStyle w:val="Body2"/>
        <w:ind w:left="680"/>
        <w:rPr>
          <w:rFonts w:cs="Arial"/>
          <w:sz w:val="18"/>
          <w:szCs w:val="18"/>
        </w:rPr>
      </w:pPr>
      <w:r w:rsidRPr="00013CAD">
        <w:rPr>
          <w:rFonts w:cs="Arial"/>
          <w:sz w:val="18"/>
          <w:szCs w:val="18"/>
        </w:rPr>
        <w:t xml:space="preserve">Projections, forecasts or estimates for the Company may be included if prepared by, and it is clear that they were prepared by, the author of </w:t>
      </w:r>
      <w:r w:rsidR="006749FC">
        <w:rPr>
          <w:rFonts w:cs="Arial"/>
          <w:sz w:val="18"/>
          <w:szCs w:val="18"/>
        </w:rPr>
        <w:t>a</w:t>
      </w:r>
      <w:r w:rsidR="006749FC" w:rsidRPr="00013CAD">
        <w:rPr>
          <w:rFonts w:cs="Arial"/>
          <w:sz w:val="18"/>
          <w:szCs w:val="18"/>
        </w:rPr>
        <w:t xml:space="preserve"> </w:t>
      </w:r>
      <w:r w:rsidRPr="00013CAD">
        <w:rPr>
          <w:rFonts w:cs="Arial"/>
          <w:sz w:val="18"/>
          <w:szCs w:val="18"/>
        </w:rPr>
        <w:t xml:space="preserve">research report independently of the Company and the </w:t>
      </w:r>
      <w:r w:rsidRPr="00013CAD">
        <w:rPr>
          <w:rFonts w:cs="Arial"/>
          <w:sz w:val="18"/>
          <w:szCs w:val="18"/>
        </w:rPr>
        <w:lastRenderedPageBreak/>
        <w:t>Managers, and if accompanied by an explanation which includes a full statement of assumptions. The assumptions should be derived from publicly available or other identified sources independent of the Company (except that certain facts and information may be provided directly from the Company to analysts) and the Managers and may not be based on or derived from price</w:t>
      </w:r>
      <w:r w:rsidR="006749FC">
        <w:rPr>
          <w:rFonts w:cs="Arial"/>
          <w:sz w:val="18"/>
          <w:szCs w:val="18"/>
        </w:rPr>
        <w:t>-</w:t>
      </w:r>
      <w:r w:rsidRPr="00013CAD">
        <w:rPr>
          <w:rFonts w:cs="Arial"/>
          <w:sz w:val="18"/>
          <w:szCs w:val="18"/>
        </w:rPr>
        <w:t>sensitive information received from the Company.</w:t>
      </w:r>
    </w:p>
    <w:p w14:paraId="5BAA0C76" w14:textId="77777777" w:rsidR="0067756D" w:rsidRPr="00013CAD" w:rsidRDefault="0067756D" w:rsidP="006D12A4">
      <w:pPr>
        <w:pStyle w:val="Body2"/>
        <w:ind w:left="680"/>
        <w:rPr>
          <w:rFonts w:cs="Arial"/>
          <w:sz w:val="18"/>
          <w:szCs w:val="18"/>
        </w:rPr>
      </w:pPr>
      <w:r w:rsidRPr="00013CAD">
        <w:rPr>
          <w:rFonts w:cs="Arial"/>
          <w:sz w:val="18"/>
          <w:szCs w:val="18"/>
        </w:rPr>
        <w:t>No projections, forecasts, estimates or other forward-looking information for the Company may relate to the period after five years</w:t>
      </w:r>
      <w:r w:rsidRPr="00013CAD">
        <w:rPr>
          <w:rFonts w:cs="Arial"/>
          <w:snapToGrid w:val="0"/>
          <w:sz w:val="18"/>
          <w:szCs w:val="18"/>
        </w:rPr>
        <w:t xml:space="preserve"> </w:t>
      </w:r>
      <w:r w:rsidRPr="00013CAD">
        <w:rPr>
          <w:rFonts w:cs="Arial"/>
          <w:sz w:val="18"/>
          <w:szCs w:val="18"/>
        </w:rPr>
        <w:t>from the date of the Offering, or as limited by each Manager’s internal policies</w:t>
      </w:r>
      <w:r w:rsidR="00913FAB" w:rsidRPr="00913FAB">
        <w:rPr>
          <w:rFonts w:cs="Arial"/>
          <w:sz w:val="18"/>
          <w:szCs w:val="18"/>
        </w:rPr>
        <w:t>, except when a discounted cash flow calculation is made by the Connected Analysts</w:t>
      </w:r>
      <w:r w:rsidRPr="00013CAD">
        <w:rPr>
          <w:rFonts w:cs="Arial"/>
          <w:sz w:val="18"/>
          <w:szCs w:val="18"/>
        </w:rPr>
        <w:t>.</w:t>
      </w:r>
    </w:p>
    <w:p w14:paraId="25AD0155" w14:textId="77777777" w:rsidR="0067756D" w:rsidRPr="00013CAD" w:rsidRDefault="004D47DF" w:rsidP="006D12A4">
      <w:pPr>
        <w:pStyle w:val="Body2"/>
        <w:ind w:left="680"/>
        <w:rPr>
          <w:rFonts w:cs="Arial"/>
          <w:sz w:val="18"/>
          <w:szCs w:val="18"/>
        </w:rPr>
      </w:pPr>
      <w:r>
        <w:rPr>
          <w:rFonts w:cs="Arial"/>
          <w:sz w:val="18"/>
          <w:szCs w:val="18"/>
        </w:rPr>
        <w:t xml:space="preserve">Each </w:t>
      </w:r>
      <w:r w:rsidR="0067756D" w:rsidRPr="00013CAD">
        <w:rPr>
          <w:rFonts w:cs="Arial"/>
          <w:sz w:val="18"/>
          <w:szCs w:val="18"/>
        </w:rPr>
        <w:t xml:space="preserve">Connected Analyst should satisfy </w:t>
      </w:r>
      <w:r>
        <w:rPr>
          <w:rFonts w:cs="Arial"/>
          <w:sz w:val="18"/>
          <w:szCs w:val="18"/>
        </w:rPr>
        <w:t>him or herself</w:t>
      </w:r>
      <w:r w:rsidRPr="00013CAD">
        <w:rPr>
          <w:rFonts w:cs="Arial"/>
          <w:sz w:val="18"/>
          <w:szCs w:val="18"/>
        </w:rPr>
        <w:t xml:space="preserve"> </w:t>
      </w:r>
      <w:r w:rsidR="0067756D" w:rsidRPr="00013CAD">
        <w:rPr>
          <w:rFonts w:cs="Arial"/>
          <w:sz w:val="18"/>
          <w:szCs w:val="18"/>
        </w:rPr>
        <w:t xml:space="preserve">as to the reasonableness of any projections, forecasts or estimates. No comment should be made by the Company on the reasonableness of projections, forecasts or estimates contained in any research report, and the independence of </w:t>
      </w:r>
      <w:r>
        <w:rPr>
          <w:rFonts w:cs="Arial"/>
          <w:sz w:val="18"/>
          <w:szCs w:val="18"/>
        </w:rPr>
        <w:t xml:space="preserve">each </w:t>
      </w:r>
      <w:r w:rsidR="0067756D" w:rsidRPr="00013CAD">
        <w:rPr>
          <w:rFonts w:cs="Arial"/>
          <w:sz w:val="18"/>
          <w:szCs w:val="18"/>
        </w:rPr>
        <w:t xml:space="preserve">Connected Analyst in producing </w:t>
      </w:r>
      <w:r w:rsidR="006749FC">
        <w:rPr>
          <w:rFonts w:cs="Arial"/>
          <w:sz w:val="18"/>
          <w:szCs w:val="18"/>
        </w:rPr>
        <w:t>a</w:t>
      </w:r>
      <w:r w:rsidR="006749FC" w:rsidRPr="00013CAD">
        <w:rPr>
          <w:rFonts w:cs="Arial"/>
          <w:sz w:val="18"/>
          <w:szCs w:val="18"/>
        </w:rPr>
        <w:t xml:space="preserve"> </w:t>
      </w:r>
      <w:r w:rsidR="0067756D" w:rsidRPr="00013CAD">
        <w:rPr>
          <w:rFonts w:cs="Arial"/>
          <w:sz w:val="18"/>
          <w:szCs w:val="18"/>
        </w:rPr>
        <w:t>research report should not be prejudiced in any way.</w:t>
      </w:r>
    </w:p>
    <w:p w14:paraId="7918D405" w14:textId="77777777" w:rsidR="0067756D" w:rsidRPr="006D12A4" w:rsidRDefault="0067756D" w:rsidP="006D12A4">
      <w:pPr>
        <w:pStyle w:val="Level2"/>
        <w:tabs>
          <w:tab w:val="clear" w:pos="1531"/>
          <w:tab w:val="num" w:pos="2040"/>
        </w:tabs>
        <w:ind w:left="2012"/>
        <w:rPr>
          <w:b/>
          <w:bCs/>
        </w:rPr>
      </w:pPr>
      <w:r w:rsidRPr="006D12A4">
        <w:rPr>
          <w:b/>
          <w:bCs/>
        </w:rPr>
        <w:t>No investment recommendations or target price</w:t>
      </w:r>
    </w:p>
    <w:p w14:paraId="488AC238" w14:textId="77777777" w:rsidR="0067756D" w:rsidRPr="00013CAD" w:rsidRDefault="006749FC" w:rsidP="006D12A4">
      <w:pPr>
        <w:pStyle w:val="Body2"/>
        <w:ind w:left="680"/>
        <w:rPr>
          <w:rFonts w:cs="Arial"/>
          <w:sz w:val="18"/>
          <w:szCs w:val="18"/>
        </w:rPr>
      </w:pPr>
      <w:r>
        <w:rPr>
          <w:rFonts w:cs="Arial"/>
          <w:sz w:val="18"/>
          <w:szCs w:val="18"/>
        </w:rPr>
        <w:t>A r</w:t>
      </w:r>
      <w:r w:rsidRPr="00013CAD">
        <w:rPr>
          <w:rFonts w:cs="Arial"/>
          <w:sz w:val="18"/>
          <w:szCs w:val="18"/>
        </w:rPr>
        <w:t xml:space="preserve">esearch </w:t>
      </w:r>
      <w:r w:rsidR="0067756D" w:rsidRPr="00013CAD">
        <w:rPr>
          <w:rFonts w:cs="Arial"/>
          <w:sz w:val="18"/>
          <w:szCs w:val="18"/>
        </w:rPr>
        <w:t xml:space="preserve">report should not </w:t>
      </w:r>
      <w:r w:rsidR="00913FAB">
        <w:rPr>
          <w:rFonts w:cs="Arial"/>
          <w:sz w:val="18"/>
          <w:szCs w:val="18"/>
        </w:rPr>
        <w:t xml:space="preserve">during the Restricted Period </w:t>
      </w:r>
      <w:r w:rsidR="0067756D" w:rsidRPr="00013CAD">
        <w:rPr>
          <w:rFonts w:cs="Arial"/>
          <w:sz w:val="18"/>
          <w:szCs w:val="18"/>
        </w:rPr>
        <w:t xml:space="preserve">include an investment rating or recommendation, target price, an expected trading range, absolute specific valuation of the Company and/or or target price with respect to the Group (i.e., specific valuations should not be given, only a valuation range, which should be as broad as possible) or fair value of any Securities, and should not include information that would, taken together, allow an investor to determine the value of the Company in future periods on a per share basis. If any valuation discussions are included in a research report, including valuation ranges, material assumptions upon which the valuation discussions are based should be clearly stated in </w:t>
      </w:r>
      <w:r>
        <w:rPr>
          <w:rFonts w:cs="Arial"/>
          <w:sz w:val="18"/>
          <w:szCs w:val="18"/>
        </w:rPr>
        <w:t>such</w:t>
      </w:r>
      <w:r w:rsidRPr="00013CAD">
        <w:rPr>
          <w:rFonts w:cs="Arial"/>
          <w:sz w:val="18"/>
          <w:szCs w:val="18"/>
        </w:rPr>
        <w:t xml:space="preserve"> </w:t>
      </w:r>
      <w:r w:rsidR="0067756D" w:rsidRPr="00013CAD">
        <w:rPr>
          <w:rFonts w:cs="Arial"/>
          <w:sz w:val="18"/>
          <w:szCs w:val="18"/>
        </w:rPr>
        <w:t xml:space="preserve">research report; and, in particular, it should not be possible, from the valuation discussions in </w:t>
      </w:r>
      <w:r>
        <w:rPr>
          <w:rFonts w:cs="Arial"/>
          <w:sz w:val="18"/>
          <w:szCs w:val="18"/>
        </w:rPr>
        <w:t>such</w:t>
      </w:r>
      <w:r w:rsidRPr="00013CAD">
        <w:rPr>
          <w:rFonts w:cs="Arial"/>
          <w:sz w:val="18"/>
          <w:szCs w:val="18"/>
        </w:rPr>
        <w:t xml:space="preserve"> </w:t>
      </w:r>
      <w:r w:rsidR="0067756D" w:rsidRPr="00013CAD">
        <w:rPr>
          <w:rFonts w:cs="Arial"/>
          <w:sz w:val="18"/>
          <w:szCs w:val="18"/>
        </w:rPr>
        <w:t xml:space="preserve">research report to calculate a target price, absolute specific valuation or fair value of a Security (i.e. </w:t>
      </w:r>
      <w:r>
        <w:rPr>
          <w:rFonts w:cs="Arial"/>
          <w:sz w:val="18"/>
          <w:szCs w:val="18"/>
        </w:rPr>
        <w:t xml:space="preserve">a </w:t>
      </w:r>
      <w:r w:rsidR="0067756D" w:rsidRPr="00013CAD">
        <w:rPr>
          <w:rFonts w:cs="Arial"/>
          <w:sz w:val="18"/>
          <w:szCs w:val="18"/>
        </w:rPr>
        <w:t xml:space="preserve">research report should not contain specific valuations, only a valuation range, which should be as broad as possible). Discussions about methods the market uses to value comparable companies may be included in </w:t>
      </w:r>
      <w:r>
        <w:rPr>
          <w:rFonts w:cs="Arial"/>
          <w:sz w:val="18"/>
          <w:szCs w:val="18"/>
        </w:rPr>
        <w:t>a</w:t>
      </w:r>
      <w:r w:rsidRPr="00013CAD">
        <w:rPr>
          <w:rFonts w:cs="Arial"/>
          <w:sz w:val="18"/>
          <w:szCs w:val="18"/>
        </w:rPr>
        <w:t xml:space="preserve"> </w:t>
      </w:r>
      <w:r w:rsidR="0067756D" w:rsidRPr="00013CAD">
        <w:rPr>
          <w:rFonts w:cs="Arial"/>
          <w:sz w:val="18"/>
          <w:szCs w:val="18"/>
        </w:rPr>
        <w:t xml:space="preserve">research report. </w:t>
      </w:r>
      <w:r>
        <w:rPr>
          <w:rFonts w:cs="Arial"/>
          <w:sz w:val="18"/>
          <w:szCs w:val="18"/>
        </w:rPr>
        <w:t>A</w:t>
      </w:r>
      <w:r w:rsidRPr="00013CAD">
        <w:rPr>
          <w:rFonts w:cs="Arial"/>
          <w:sz w:val="18"/>
          <w:szCs w:val="18"/>
        </w:rPr>
        <w:t xml:space="preserve"> </w:t>
      </w:r>
      <w:r w:rsidR="0067756D" w:rsidRPr="00013CAD">
        <w:rPr>
          <w:rFonts w:cs="Arial"/>
          <w:sz w:val="18"/>
          <w:szCs w:val="18"/>
        </w:rPr>
        <w:t>research report should clearly state that any suggested valuation framework is based upon long-term analysis and is not linked to a near-term assessment of the likely performance of the Securities</w:t>
      </w:r>
      <w:r>
        <w:rPr>
          <w:rFonts w:cs="Arial"/>
          <w:sz w:val="18"/>
          <w:szCs w:val="18"/>
        </w:rPr>
        <w:t>.</w:t>
      </w:r>
      <w:r w:rsidRPr="00013CAD">
        <w:rPr>
          <w:rFonts w:cs="Arial"/>
          <w:sz w:val="18"/>
          <w:szCs w:val="18"/>
        </w:rPr>
        <w:t xml:space="preserve"> </w:t>
      </w:r>
      <w:r>
        <w:rPr>
          <w:rFonts w:cs="Arial"/>
          <w:sz w:val="18"/>
          <w:szCs w:val="18"/>
        </w:rPr>
        <w:t>I</w:t>
      </w:r>
      <w:r w:rsidR="0067756D" w:rsidRPr="00013CAD">
        <w:rPr>
          <w:rFonts w:cs="Arial"/>
          <w:sz w:val="18"/>
          <w:szCs w:val="18"/>
        </w:rPr>
        <w:t>t should also be made clear that any valuation range and/or discussion of valuation methodology and comparables analysis included was not provided by or prepared in consultation with the Company. In addition, forecasts for earnings per share or of dividends may not be included.</w:t>
      </w:r>
    </w:p>
    <w:p w14:paraId="0E49C8AC" w14:textId="77777777" w:rsidR="0067756D" w:rsidRPr="00ED6EBC" w:rsidRDefault="0067756D" w:rsidP="00ED6EBC">
      <w:pPr>
        <w:pStyle w:val="Level2"/>
        <w:tabs>
          <w:tab w:val="clear" w:pos="1531"/>
          <w:tab w:val="num" w:pos="2040"/>
        </w:tabs>
        <w:ind w:left="2012"/>
        <w:rPr>
          <w:b/>
          <w:bCs/>
        </w:rPr>
      </w:pPr>
      <w:r w:rsidRPr="00ED6EBC">
        <w:rPr>
          <w:b/>
          <w:bCs/>
        </w:rPr>
        <w:t>Accuracy of contents</w:t>
      </w:r>
    </w:p>
    <w:p w14:paraId="3FA4184B" w14:textId="77777777" w:rsidR="0067756D" w:rsidRPr="00013CAD" w:rsidRDefault="0067756D" w:rsidP="006D12A4">
      <w:pPr>
        <w:pStyle w:val="Body2"/>
        <w:ind w:left="680"/>
        <w:rPr>
          <w:rFonts w:cs="Arial"/>
          <w:sz w:val="18"/>
          <w:szCs w:val="18"/>
        </w:rPr>
      </w:pPr>
      <w:r w:rsidRPr="00013CAD">
        <w:rPr>
          <w:rFonts w:cs="Arial"/>
          <w:sz w:val="18"/>
          <w:szCs w:val="18"/>
        </w:rPr>
        <w:t xml:space="preserve">Information contained in </w:t>
      </w:r>
      <w:r w:rsidR="00766159">
        <w:rPr>
          <w:rFonts w:cs="Arial"/>
          <w:sz w:val="18"/>
          <w:szCs w:val="18"/>
        </w:rPr>
        <w:t>a research</w:t>
      </w:r>
      <w:r w:rsidR="00766159" w:rsidRPr="00013CAD">
        <w:rPr>
          <w:rFonts w:cs="Arial"/>
          <w:sz w:val="18"/>
          <w:szCs w:val="18"/>
        </w:rPr>
        <w:t xml:space="preserve"> </w:t>
      </w:r>
      <w:r w:rsidRPr="00013CAD">
        <w:rPr>
          <w:rFonts w:cs="Arial"/>
          <w:sz w:val="18"/>
          <w:szCs w:val="18"/>
        </w:rPr>
        <w:t>report must be true, accurate and not misleading (including by omission). For the protection of the Managers, the Company [</w:t>
      </w:r>
      <w:r w:rsidRPr="004A4224">
        <w:rPr>
          <w:rFonts w:cs="Arial"/>
          <w:sz w:val="18"/>
          <w:szCs w:val="18"/>
        </w:rPr>
        <w:t>and/or the Group]</w:t>
      </w:r>
      <w:r w:rsidR="004A4224">
        <w:rPr>
          <w:rFonts w:cs="Arial"/>
          <w:sz w:val="18"/>
          <w:szCs w:val="18"/>
        </w:rPr>
        <w:t xml:space="preserve">, </w:t>
      </w:r>
      <w:r w:rsidRPr="004A4224">
        <w:rPr>
          <w:rFonts w:cs="Arial"/>
          <w:sz w:val="18"/>
          <w:szCs w:val="18"/>
        </w:rPr>
        <w:t>[the Selling Shareholders</w:t>
      </w:r>
      <w:r w:rsidRPr="00013CAD">
        <w:rPr>
          <w:rFonts w:cs="Arial"/>
          <w:sz w:val="18"/>
          <w:szCs w:val="18"/>
        </w:rPr>
        <w:t>] and its advisers, care must be taken to minimise the potential for false or misleading statements appearing in research reports. Statements must therefore be carefully checked and, if appropriate, explanations, caveats and qualifications stated.</w:t>
      </w:r>
    </w:p>
    <w:p w14:paraId="1544DCBA" w14:textId="77777777" w:rsidR="0067756D" w:rsidRPr="00F74DFB" w:rsidRDefault="0067756D" w:rsidP="00F74DFB">
      <w:pPr>
        <w:pStyle w:val="Level2"/>
        <w:tabs>
          <w:tab w:val="clear" w:pos="1531"/>
          <w:tab w:val="num" w:pos="2040"/>
        </w:tabs>
        <w:ind w:left="2012"/>
        <w:rPr>
          <w:b/>
          <w:bCs/>
        </w:rPr>
      </w:pPr>
      <w:r w:rsidRPr="00F74DFB">
        <w:rPr>
          <w:b/>
          <w:bCs/>
        </w:rPr>
        <w:t>Source of information</w:t>
      </w:r>
    </w:p>
    <w:p w14:paraId="0DD47921" w14:textId="77777777" w:rsidR="0067756D" w:rsidRPr="00013CAD" w:rsidRDefault="00766159" w:rsidP="006D12A4">
      <w:pPr>
        <w:pStyle w:val="Body2"/>
        <w:ind w:left="680"/>
        <w:rPr>
          <w:rFonts w:cs="Arial"/>
          <w:sz w:val="18"/>
          <w:szCs w:val="18"/>
        </w:rPr>
      </w:pPr>
      <w:r>
        <w:rPr>
          <w:rFonts w:cs="Arial"/>
          <w:sz w:val="18"/>
          <w:szCs w:val="18"/>
        </w:rPr>
        <w:t>A</w:t>
      </w:r>
      <w:r w:rsidRPr="00013CAD">
        <w:rPr>
          <w:rFonts w:cs="Arial"/>
          <w:sz w:val="18"/>
          <w:szCs w:val="18"/>
        </w:rPr>
        <w:t xml:space="preserve"> </w:t>
      </w:r>
      <w:r w:rsidR="0067756D" w:rsidRPr="00013CAD">
        <w:rPr>
          <w:rFonts w:cs="Arial"/>
          <w:sz w:val="18"/>
          <w:szCs w:val="18"/>
        </w:rPr>
        <w:t xml:space="preserve">research report should be an outsider’s view of the Company which has been independently produced by </w:t>
      </w:r>
      <w:r w:rsidR="004D47DF">
        <w:rPr>
          <w:rFonts w:cs="Arial"/>
          <w:sz w:val="18"/>
          <w:szCs w:val="18"/>
        </w:rPr>
        <w:t>a</w:t>
      </w:r>
      <w:r w:rsidR="004D47DF" w:rsidRPr="00013CAD">
        <w:rPr>
          <w:rFonts w:cs="Arial"/>
          <w:sz w:val="18"/>
          <w:szCs w:val="18"/>
        </w:rPr>
        <w:t xml:space="preserve"> </w:t>
      </w:r>
      <w:r w:rsidR="0067756D" w:rsidRPr="00013CAD">
        <w:rPr>
          <w:rFonts w:cs="Arial"/>
          <w:sz w:val="18"/>
          <w:szCs w:val="18"/>
        </w:rPr>
        <w:t xml:space="preserve">Connected Analyst. The source (and, where appropriate, the quality) of the information must be made clear. In particular, where statements are matters of opinion or conjecture of </w:t>
      </w:r>
      <w:r w:rsidR="004D47DF">
        <w:rPr>
          <w:rFonts w:cs="Arial"/>
          <w:sz w:val="18"/>
          <w:szCs w:val="18"/>
        </w:rPr>
        <w:t>such</w:t>
      </w:r>
      <w:r w:rsidR="004D47DF" w:rsidRPr="00013CAD">
        <w:rPr>
          <w:rFonts w:cs="Arial"/>
          <w:sz w:val="18"/>
          <w:szCs w:val="18"/>
        </w:rPr>
        <w:t xml:space="preserve"> </w:t>
      </w:r>
      <w:r w:rsidR="0067756D" w:rsidRPr="00013CAD">
        <w:rPr>
          <w:rFonts w:cs="Arial"/>
          <w:sz w:val="18"/>
          <w:szCs w:val="18"/>
        </w:rPr>
        <w:t>Connected Analyst, this should be stated and there should be a reasonable basis for such opinion or conjecture. To the extent that statements and their implications can be substantiated against appropriate sources, this should be done. To the extent that they cannot be substantiated, this must be made clear. To the extent that information is based on published or historic</w:t>
      </w:r>
      <w:r w:rsidR="004D47DF">
        <w:rPr>
          <w:rFonts w:cs="Arial"/>
          <w:sz w:val="18"/>
          <w:szCs w:val="18"/>
        </w:rPr>
        <w:t>al</w:t>
      </w:r>
      <w:r w:rsidR="0067756D" w:rsidRPr="00013CAD">
        <w:rPr>
          <w:rFonts w:cs="Arial"/>
          <w:sz w:val="18"/>
          <w:szCs w:val="18"/>
        </w:rPr>
        <w:t xml:space="preserve"> information, this should be made clear.</w:t>
      </w:r>
    </w:p>
    <w:p w14:paraId="2B37AB40" w14:textId="77777777" w:rsidR="0067756D" w:rsidRPr="004B452C" w:rsidRDefault="0067756D" w:rsidP="004B452C">
      <w:pPr>
        <w:pStyle w:val="Level2"/>
        <w:tabs>
          <w:tab w:val="clear" w:pos="1531"/>
          <w:tab w:val="num" w:pos="2040"/>
        </w:tabs>
        <w:ind w:left="2012"/>
        <w:rPr>
          <w:b/>
          <w:bCs/>
        </w:rPr>
      </w:pPr>
      <w:r w:rsidRPr="004B452C">
        <w:rPr>
          <w:b/>
          <w:bCs/>
        </w:rPr>
        <w:t>Non-comprehensive</w:t>
      </w:r>
    </w:p>
    <w:p w14:paraId="11B17BF0" w14:textId="77777777" w:rsidR="0067756D" w:rsidRPr="00013CAD" w:rsidRDefault="0067756D" w:rsidP="00DD4201">
      <w:pPr>
        <w:pStyle w:val="Body2"/>
        <w:ind w:left="680"/>
        <w:rPr>
          <w:rFonts w:cs="Arial"/>
          <w:sz w:val="18"/>
          <w:szCs w:val="18"/>
        </w:rPr>
      </w:pPr>
      <w:r w:rsidRPr="00013CAD">
        <w:rPr>
          <w:rFonts w:cs="Arial"/>
          <w:sz w:val="18"/>
          <w:szCs w:val="18"/>
        </w:rPr>
        <w:t xml:space="preserve">It should be made clear that </w:t>
      </w:r>
      <w:r w:rsidR="00766159">
        <w:rPr>
          <w:rFonts w:cs="Arial"/>
          <w:sz w:val="18"/>
          <w:szCs w:val="18"/>
        </w:rPr>
        <w:t>a</w:t>
      </w:r>
      <w:r w:rsidR="00766159" w:rsidRPr="00013CAD">
        <w:rPr>
          <w:rFonts w:cs="Arial"/>
          <w:sz w:val="18"/>
          <w:szCs w:val="18"/>
        </w:rPr>
        <w:t xml:space="preserve"> </w:t>
      </w:r>
      <w:r w:rsidRPr="00013CAD">
        <w:rPr>
          <w:rFonts w:cs="Arial"/>
          <w:sz w:val="18"/>
          <w:szCs w:val="18"/>
        </w:rPr>
        <w:t>research report does not, and does not attempt to, contain everything material that there is to be said about the Company.</w:t>
      </w:r>
    </w:p>
    <w:p w14:paraId="60EC56D0" w14:textId="77777777" w:rsidR="0067756D" w:rsidRPr="00411BAB" w:rsidRDefault="0067756D" w:rsidP="00411BAB">
      <w:pPr>
        <w:pStyle w:val="Level2"/>
        <w:tabs>
          <w:tab w:val="clear" w:pos="1531"/>
          <w:tab w:val="num" w:pos="2040"/>
        </w:tabs>
        <w:ind w:left="2012"/>
        <w:rPr>
          <w:b/>
          <w:bCs/>
        </w:rPr>
      </w:pPr>
      <w:r w:rsidRPr="00411BAB">
        <w:rPr>
          <w:b/>
          <w:bCs/>
        </w:rPr>
        <w:lastRenderedPageBreak/>
        <w:t>Author’s Own Views</w:t>
      </w:r>
    </w:p>
    <w:p w14:paraId="65CB6558" w14:textId="77777777" w:rsidR="0067756D" w:rsidRPr="00013CAD" w:rsidRDefault="0067756D" w:rsidP="00DD4201">
      <w:pPr>
        <w:pStyle w:val="Body2"/>
        <w:ind w:left="680"/>
        <w:rPr>
          <w:rFonts w:cs="Arial"/>
          <w:sz w:val="18"/>
          <w:szCs w:val="18"/>
        </w:rPr>
      </w:pPr>
      <w:r w:rsidRPr="00013CAD">
        <w:rPr>
          <w:rFonts w:cs="Arial"/>
          <w:sz w:val="18"/>
          <w:szCs w:val="18"/>
        </w:rPr>
        <w:t xml:space="preserve">Any impression that </w:t>
      </w:r>
      <w:r w:rsidR="00766159">
        <w:rPr>
          <w:rFonts w:cs="Arial"/>
          <w:sz w:val="18"/>
          <w:szCs w:val="18"/>
        </w:rPr>
        <w:t>a</w:t>
      </w:r>
      <w:r w:rsidR="00766159" w:rsidRPr="00013CAD">
        <w:rPr>
          <w:rFonts w:cs="Arial"/>
          <w:sz w:val="18"/>
          <w:szCs w:val="18"/>
        </w:rPr>
        <w:t xml:space="preserve"> </w:t>
      </w:r>
      <w:r w:rsidRPr="00013CAD">
        <w:rPr>
          <w:rFonts w:cs="Arial"/>
          <w:sz w:val="18"/>
          <w:szCs w:val="18"/>
        </w:rPr>
        <w:t>document is definitive or authoritative or that it represents the views of persons other than the author should be clearly negated to the extent that it is not the case.</w:t>
      </w:r>
    </w:p>
    <w:p w14:paraId="46FBBD81" w14:textId="77777777" w:rsidR="0067756D" w:rsidRPr="00DD4201" w:rsidRDefault="0067756D" w:rsidP="00764F91">
      <w:pPr>
        <w:pStyle w:val="Level2"/>
        <w:tabs>
          <w:tab w:val="clear" w:pos="1531"/>
          <w:tab w:val="num" w:pos="2040"/>
        </w:tabs>
        <w:spacing w:line="276" w:lineRule="auto"/>
        <w:ind w:left="2012"/>
        <w:rPr>
          <w:b/>
          <w:bCs/>
        </w:rPr>
      </w:pPr>
      <w:r w:rsidRPr="00DD4201">
        <w:rPr>
          <w:b/>
          <w:bCs/>
        </w:rPr>
        <w:t xml:space="preserve">Independence </w:t>
      </w:r>
    </w:p>
    <w:p w14:paraId="15DCC662" w14:textId="374FA636" w:rsidR="009F3318" w:rsidRPr="009175D7" w:rsidRDefault="009F3318" w:rsidP="00764F91">
      <w:pPr>
        <w:spacing w:line="276" w:lineRule="auto"/>
        <w:ind w:left="680"/>
        <w:jc w:val="both"/>
        <w:rPr>
          <w:sz w:val="18"/>
          <w:szCs w:val="18"/>
        </w:rPr>
      </w:pPr>
      <w:r w:rsidRPr="009175D7">
        <w:rPr>
          <w:sz w:val="18"/>
          <w:szCs w:val="18"/>
        </w:rPr>
        <w:t>Each research report must be produced independently of the divisions or departments of a Manager responsible for the management and distribution of the Offering (although representatives of such divisions or departments may review such research report, provided that appropriate compliance oversight measures are in place, such as the Manager’s Compliance Department being</w:t>
      </w:r>
      <w:r w:rsidRPr="009175D7">
        <w:rPr>
          <w:strike/>
          <w:sz w:val="18"/>
          <w:szCs w:val="18"/>
        </w:rPr>
        <w:t xml:space="preserve"> </w:t>
      </w:r>
      <w:r w:rsidRPr="009175D7">
        <w:rPr>
          <w:sz w:val="18"/>
          <w:szCs w:val="18"/>
        </w:rPr>
        <w:t>copied on all e-mail communication between the investment banking division and research personnel, or other equivalent procedures established in accordance with such Manager’s internal policies to monitor and</w:t>
      </w:r>
      <w:r w:rsidR="009175D7">
        <w:rPr>
          <w:sz w:val="18"/>
          <w:szCs w:val="18"/>
        </w:rPr>
        <w:t xml:space="preserve"> </w:t>
      </w:r>
      <w:r w:rsidRPr="009175D7">
        <w:rPr>
          <w:sz w:val="18"/>
          <w:szCs w:val="18"/>
        </w:rPr>
        <w:t>document such communications)</w:t>
      </w:r>
      <w:r w:rsidR="00F42A68" w:rsidRPr="009175D7">
        <w:rPr>
          <w:sz w:val="18"/>
          <w:szCs w:val="18"/>
        </w:rPr>
        <w:t>.</w:t>
      </w:r>
    </w:p>
    <w:p w14:paraId="42A1E437" w14:textId="51B348AF" w:rsidR="0067756D" w:rsidRPr="00013CAD" w:rsidRDefault="0067756D" w:rsidP="00D91619">
      <w:pPr>
        <w:pStyle w:val="Body2"/>
        <w:ind w:left="680"/>
        <w:rPr>
          <w:rFonts w:cs="Arial"/>
          <w:sz w:val="18"/>
          <w:szCs w:val="18"/>
        </w:rPr>
      </w:pPr>
    </w:p>
    <w:p w14:paraId="57BCF077" w14:textId="77777777" w:rsidR="0067756D" w:rsidRPr="0077386A" w:rsidRDefault="00913FAB" w:rsidP="0077386A">
      <w:pPr>
        <w:pStyle w:val="Level2"/>
        <w:tabs>
          <w:tab w:val="clear" w:pos="1531"/>
          <w:tab w:val="num" w:pos="2040"/>
        </w:tabs>
        <w:ind w:left="2012"/>
        <w:rPr>
          <w:b/>
          <w:bCs/>
        </w:rPr>
      </w:pPr>
      <w:r w:rsidRPr="0077386A">
        <w:rPr>
          <w:b/>
          <w:bCs/>
        </w:rPr>
        <w:t>Information barriers</w:t>
      </w:r>
    </w:p>
    <w:p w14:paraId="0661E0F2" w14:textId="77777777" w:rsidR="0067756D" w:rsidRPr="00013CAD" w:rsidRDefault="0067756D" w:rsidP="00D91619">
      <w:pPr>
        <w:pStyle w:val="Body2"/>
        <w:ind w:left="680"/>
        <w:rPr>
          <w:rFonts w:cs="Arial"/>
          <w:sz w:val="18"/>
          <w:szCs w:val="18"/>
        </w:rPr>
      </w:pPr>
      <w:r w:rsidRPr="00013CAD">
        <w:rPr>
          <w:rFonts w:cs="Arial"/>
          <w:sz w:val="18"/>
          <w:szCs w:val="18"/>
        </w:rPr>
        <w:t xml:space="preserve">If </w:t>
      </w:r>
      <w:r w:rsidR="004D47DF">
        <w:rPr>
          <w:rFonts w:cs="Arial"/>
          <w:sz w:val="18"/>
          <w:szCs w:val="18"/>
        </w:rPr>
        <w:t>a</w:t>
      </w:r>
      <w:r w:rsidR="004D47DF" w:rsidRPr="00013CAD">
        <w:rPr>
          <w:rFonts w:cs="Arial"/>
          <w:sz w:val="18"/>
          <w:szCs w:val="18"/>
        </w:rPr>
        <w:t xml:space="preserve"> </w:t>
      </w:r>
      <w:r w:rsidRPr="00013CAD">
        <w:rPr>
          <w:rFonts w:cs="Arial"/>
          <w:sz w:val="18"/>
          <w:szCs w:val="18"/>
        </w:rPr>
        <w:t xml:space="preserve">Connected Analyst is </w:t>
      </w:r>
      <w:r w:rsidR="004D47DF">
        <w:rPr>
          <w:rFonts w:cs="Arial"/>
          <w:sz w:val="18"/>
          <w:szCs w:val="18"/>
        </w:rPr>
        <w:t xml:space="preserve">employed by </w:t>
      </w:r>
      <w:r w:rsidRPr="00013CAD">
        <w:rPr>
          <w:rFonts w:cs="Arial"/>
          <w:sz w:val="18"/>
          <w:szCs w:val="18"/>
        </w:rPr>
        <w:t xml:space="preserve">part of, or a group company in, an integrated finance house, and other such parts or other such group companies are involved in corporate finance or general advisory work for the Company or any of its advisers, effective </w:t>
      </w:r>
      <w:r w:rsidR="00913FAB">
        <w:rPr>
          <w:rFonts w:cs="Arial"/>
          <w:sz w:val="18"/>
          <w:szCs w:val="18"/>
        </w:rPr>
        <w:t xml:space="preserve">information barriers </w:t>
      </w:r>
      <w:r w:rsidRPr="00013CAD">
        <w:rPr>
          <w:rFonts w:cs="Arial"/>
          <w:sz w:val="18"/>
          <w:szCs w:val="18"/>
        </w:rPr>
        <w:t xml:space="preserve"> must be maintained between the research function and the corporate and general financial advisory function.</w:t>
      </w:r>
    </w:p>
    <w:p w14:paraId="73FF63FA" w14:textId="77777777" w:rsidR="0067756D" w:rsidRPr="005B507F" w:rsidRDefault="0067756D" w:rsidP="005B507F">
      <w:pPr>
        <w:pStyle w:val="Level2"/>
        <w:tabs>
          <w:tab w:val="clear" w:pos="1531"/>
          <w:tab w:val="num" w:pos="2040"/>
        </w:tabs>
        <w:ind w:left="2012"/>
        <w:rPr>
          <w:b/>
          <w:bCs/>
        </w:rPr>
      </w:pPr>
      <w:r w:rsidRPr="005B507F">
        <w:rPr>
          <w:b/>
          <w:bCs/>
        </w:rPr>
        <w:t>Presentation of risks</w:t>
      </w:r>
    </w:p>
    <w:p w14:paraId="27AB5346" w14:textId="77777777" w:rsidR="0067756D" w:rsidRPr="00013CAD" w:rsidRDefault="0067756D" w:rsidP="00D91619">
      <w:pPr>
        <w:pStyle w:val="Body2"/>
        <w:ind w:left="680"/>
        <w:rPr>
          <w:rFonts w:cs="Arial"/>
          <w:b/>
          <w:bCs/>
          <w:sz w:val="18"/>
          <w:szCs w:val="18"/>
        </w:rPr>
      </w:pPr>
      <w:r w:rsidRPr="00013CAD">
        <w:rPr>
          <w:rFonts w:cs="Arial"/>
          <w:sz w:val="18"/>
          <w:szCs w:val="18"/>
        </w:rPr>
        <w:t xml:space="preserve">Presentation of any risks associated with an investment in the Company’s securities should be included in a prominent manner in </w:t>
      </w:r>
      <w:r w:rsidR="00766159">
        <w:rPr>
          <w:rFonts w:cs="Arial"/>
          <w:sz w:val="18"/>
          <w:szCs w:val="18"/>
        </w:rPr>
        <w:t>a</w:t>
      </w:r>
      <w:r w:rsidR="00766159" w:rsidRPr="00013CAD">
        <w:rPr>
          <w:rFonts w:cs="Arial"/>
          <w:sz w:val="18"/>
          <w:szCs w:val="18"/>
        </w:rPr>
        <w:t xml:space="preserve"> </w:t>
      </w:r>
      <w:r w:rsidRPr="00013CAD">
        <w:rPr>
          <w:rFonts w:cs="Arial"/>
          <w:sz w:val="18"/>
          <w:szCs w:val="18"/>
        </w:rPr>
        <w:t>research report.</w:t>
      </w:r>
    </w:p>
    <w:p w14:paraId="72A67C2B" w14:textId="77777777" w:rsidR="0067756D" w:rsidRPr="008F2E37" w:rsidRDefault="001D2238" w:rsidP="008F2E37">
      <w:pPr>
        <w:pStyle w:val="Level2"/>
        <w:tabs>
          <w:tab w:val="clear" w:pos="1531"/>
          <w:tab w:val="num" w:pos="2040"/>
        </w:tabs>
        <w:ind w:left="2012"/>
        <w:rPr>
          <w:b/>
          <w:bCs/>
        </w:rPr>
      </w:pPr>
      <w:r w:rsidRPr="008F2E37">
        <w:rPr>
          <w:b/>
          <w:bCs/>
        </w:rPr>
        <w:t>N</w:t>
      </w:r>
      <w:r w:rsidR="0067756D" w:rsidRPr="008F2E37">
        <w:rPr>
          <w:b/>
          <w:bCs/>
        </w:rPr>
        <w:t>o US contact information</w:t>
      </w:r>
    </w:p>
    <w:p w14:paraId="77F6725B" w14:textId="77777777" w:rsidR="0067756D" w:rsidRPr="00013CAD" w:rsidRDefault="006749FC" w:rsidP="00D91619">
      <w:pPr>
        <w:pStyle w:val="Body2"/>
        <w:ind w:left="680"/>
        <w:rPr>
          <w:rFonts w:cs="Arial"/>
          <w:b/>
          <w:bCs/>
          <w:sz w:val="18"/>
          <w:szCs w:val="18"/>
        </w:rPr>
      </w:pPr>
      <w:r>
        <w:rPr>
          <w:rFonts w:cs="Arial"/>
          <w:sz w:val="18"/>
          <w:szCs w:val="18"/>
        </w:rPr>
        <w:t>A r</w:t>
      </w:r>
      <w:r w:rsidRPr="00013CAD">
        <w:rPr>
          <w:rFonts w:cs="Arial"/>
          <w:sz w:val="18"/>
          <w:szCs w:val="18"/>
        </w:rPr>
        <w:t xml:space="preserve">esearch </w:t>
      </w:r>
      <w:r w:rsidR="0067756D" w:rsidRPr="00013CAD">
        <w:rPr>
          <w:rFonts w:cs="Arial"/>
          <w:sz w:val="18"/>
          <w:szCs w:val="18"/>
        </w:rPr>
        <w:t xml:space="preserve">report being distributed outside the United States must not contain any contact information relating to US analysts, US affiliates of any Manager issuing a research report or any of their US offices. Under no circumstance should </w:t>
      </w:r>
      <w:r>
        <w:rPr>
          <w:rFonts w:cs="Arial"/>
          <w:sz w:val="18"/>
          <w:szCs w:val="18"/>
        </w:rPr>
        <w:t xml:space="preserve">a </w:t>
      </w:r>
      <w:r w:rsidR="0067756D" w:rsidRPr="00013CAD">
        <w:rPr>
          <w:rFonts w:cs="Arial"/>
          <w:sz w:val="18"/>
          <w:szCs w:val="18"/>
        </w:rPr>
        <w:t>research report provide contact information in the United States.</w:t>
      </w:r>
      <w:r w:rsidR="00743DB4" w:rsidRPr="00013CAD">
        <w:rPr>
          <w:rFonts w:cs="Arial"/>
          <w:sz w:val="18"/>
          <w:szCs w:val="18"/>
        </w:rPr>
        <w:t xml:space="preserve"> </w:t>
      </w:r>
    </w:p>
    <w:p w14:paraId="448E0D43" w14:textId="77777777" w:rsidR="0067756D" w:rsidRPr="00F46FBD" w:rsidRDefault="0067756D" w:rsidP="00F46FBD">
      <w:pPr>
        <w:pStyle w:val="Level2"/>
        <w:tabs>
          <w:tab w:val="clear" w:pos="1531"/>
          <w:tab w:val="num" w:pos="2040"/>
        </w:tabs>
        <w:ind w:left="2012"/>
        <w:rPr>
          <w:b/>
          <w:bCs/>
        </w:rPr>
      </w:pPr>
      <w:r w:rsidRPr="00F46FBD">
        <w:rPr>
          <w:b/>
          <w:bCs/>
        </w:rPr>
        <w:t>Reports must be dated</w:t>
      </w:r>
    </w:p>
    <w:p w14:paraId="189F9517" w14:textId="77777777" w:rsidR="0067756D" w:rsidRPr="00013CAD" w:rsidRDefault="006749FC" w:rsidP="00D91619">
      <w:pPr>
        <w:pStyle w:val="Body2"/>
        <w:ind w:left="0" w:firstLine="680"/>
        <w:rPr>
          <w:rFonts w:cs="Arial"/>
          <w:sz w:val="18"/>
          <w:szCs w:val="18"/>
        </w:rPr>
      </w:pPr>
      <w:r>
        <w:rPr>
          <w:rFonts w:cs="Arial"/>
          <w:sz w:val="18"/>
          <w:szCs w:val="18"/>
        </w:rPr>
        <w:t>A r</w:t>
      </w:r>
      <w:r w:rsidRPr="00013CAD">
        <w:rPr>
          <w:rFonts w:cs="Arial"/>
          <w:sz w:val="18"/>
          <w:szCs w:val="18"/>
        </w:rPr>
        <w:t xml:space="preserve">esearch </w:t>
      </w:r>
      <w:r w:rsidR="0067756D" w:rsidRPr="00013CAD">
        <w:rPr>
          <w:rFonts w:cs="Arial"/>
          <w:sz w:val="18"/>
          <w:szCs w:val="18"/>
        </w:rPr>
        <w:t>report should be dated to discourage reliance on the report after its date of publication.</w:t>
      </w:r>
    </w:p>
    <w:p w14:paraId="3D274D5A" w14:textId="77777777" w:rsidR="0067756D" w:rsidRPr="006A60A5" w:rsidRDefault="0067756D" w:rsidP="006A60A5">
      <w:pPr>
        <w:pStyle w:val="Level2"/>
        <w:tabs>
          <w:tab w:val="clear" w:pos="1531"/>
          <w:tab w:val="num" w:pos="2040"/>
        </w:tabs>
        <w:ind w:left="2012"/>
        <w:rPr>
          <w:b/>
          <w:bCs/>
        </w:rPr>
      </w:pPr>
      <w:r w:rsidRPr="006A60A5">
        <w:rPr>
          <w:b/>
          <w:bCs/>
        </w:rPr>
        <w:t>Restricted jurisdictions</w:t>
      </w:r>
      <w:r w:rsidR="006749FC" w:rsidRPr="006A60A5">
        <w:rPr>
          <w:b/>
          <w:bCs/>
        </w:rPr>
        <w:t>’</w:t>
      </w:r>
      <w:r w:rsidRPr="006A60A5">
        <w:rPr>
          <w:b/>
          <w:bCs/>
        </w:rPr>
        <w:t xml:space="preserve"> contacts</w:t>
      </w:r>
    </w:p>
    <w:p w14:paraId="27CF3FCD" w14:textId="77777777" w:rsidR="0067756D" w:rsidRPr="00013CAD" w:rsidRDefault="006749FC" w:rsidP="00D91619">
      <w:pPr>
        <w:pStyle w:val="Body2"/>
        <w:ind w:left="567"/>
        <w:rPr>
          <w:rFonts w:cs="Arial"/>
          <w:sz w:val="18"/>
          <w:szCs w:val="18"/>
        </w:rPr>
      </w:pPr>
      <w:r>
        <w:rPr>
          <w:rFonts w:cs="Arial"/>
          <w:sz w:val="18"/>
          <w:szCs w:val="18"/>
        </w:rPr>
        <w:t>A r</w:t>
      </w:r>
      <w:r w:rsidRPr="00013CAD">
        <w:rPr>
          <w:rFonts w:cs="Arial"/>
          <w:sz w:val="18"/>
          <w:szCs w:val="18"/>
        </w:rPr>
        <w:t xml:space="preserve">esearch </w:t>
      </w:r>
      <w:r w:rsidR="0067756D" w:rsidRPr="00013CAD">
        <w:rPr>
          <w:rFonts w:cs="Arial"/>
          <w:sz w:val="18"/>
          <w:szCs w:val="18"/>
        </w:rPr>
        <w:t xml:space="preserve">report should not list persons as contacts in the restricted jurisdictions or any other jurisdiction to which distribution is not permitted pursuant to applicable laws, rules and regulations. </w:t>
      </w:r>
    </w:p>
    <w:p w14:paraId="54CF6799" w14:textId="77777777" w:rsidR="0067756D" w:rsidRPr="00AD1243" w:rsidRDefault="0067756D">
      <w:pPr>
        <w:pStyle w:val="Level1"/>
        <w:rPr>
          <w:rFonts w:cs="Arial"/>
          <w:sz w:val="20"/>
          <w:szCs w:val="20"/>
        </w:rPr>
      </w:pPr>
      <w:bookmarkStart w:id="27" w:name="_Toc260049872"/>
      <w:bookmarkStart w:id="28" w:name="_Toc292783579"/>
      <w:r w:rsidRPr="00AD1243">
        <w:rPr>
          <w:rFonts w:cs="Arial"/>
          <w:sz w:val="20"/>
          <w:szCs w:val="20"/>
        </w:rPr>
        <w:t>Jurisdictions other than the United States, Norway</w:t>
      </w:r>
      <w:r w:rsidR="00700979" w:rsidRPr="00AD1243">
        <w:rPr>
          <w:rFonts w:cs="Arial"/>
          <w:sz w:val="20"/>
          <w:szCs w:val="20"/>
        </w:rPr>
        <w:t>, other EU/EEA members</w:t>
      </w:r>
      <w:r w:rsidRPr="00AD1243">
        <w:rPr>
          <w:rFonts w:cs="Arial"/>
          <w:sz w:val="20"/>
          <w:szCs w:val="20"/>
        </w:rPr>
        <w:t xml:space="preserve"> and the United Kingdom</w:t>
      </w:r>
      <w:bookmarkEnd w:id="27"/>
      <w:bookmarkEnd w:id="28"/>
    </w:p>
    <w:p w14:paraId="33C64767" w14:textId="2185876A" w:rsidR="0067756D" w:rsidRPr="00013CAD" w:rsidRDefault="00913FAB">
      <w:pPr>
        <w:pStyle w:val="Body1"/>
        <w:rPr>
          <w:rFonts w:cs="Arial"/>
          <w:sz w:val="18"/>
          <w:szCs w:val="18"/>
        </w:rPr>
      </w:pPr>
      <w:r>
        <w:rPr>
          <w:rFonts w:cs="Arial"/>
          <w:sz w:val="18"/>
          <w:szCs w:val="18"/>
        </w:rPr>
        <w:t xml:space="preserve">These guidelines </w:t>
      </w:r>
      <w:r w:rsidR="0067756D" w:rsidRPr="00013CAD">
        <w:rPr>
          <w:rFonts w:cs="Arial"/>
          <w:sz w:val="18"/>
          <w:szCs w:val="18"/>
        </w:rPr>
        <w:t xml:space="preserve">do not address the restrictions on the use of </w:t>
      </w:r>
      <w:r w:rsidR="006749FC">
        <w:rPr>
          <w:rFonts w:cs="Arial"/>
          <w:sz w:val="18"/>
          <w:szCs w:val="18"/>
        </w:rPr>
        <w:t xml:space="preserve">a </w:t>
      </w:r>
      <w:r w:rsidR="0067756D" w:rsidRPr="00013CAD">
        <w:rPr>
          <w:rFonts w:cs="Arial"/>
          <w:sz w:val="18"/>
          <w:szCs w:val="18"/>
        </w:rPr>
        <w:t xml:space="preserve">research report in jurisdictions outside the United States, </w:t>
      </w:r>
      <w:r w:rsidR="00F47ECE">
        <w:rPr>
          <w:rFonts w:cs="Arial"/>
          <w:sz w:val="18"/>
          <w:szCs w:val="18"/>
        </w:rPr>
        <w:t xml:space="preserve">EU/EEA members (including </w:t>
      </w:r>
      <w:r w:rsidR="0067756D" w:rsidRPr="00013CAD">
        <w:rPr>
          <w:rFonts w:cs="Arial"/>
          <w:sz w:val="18"/>
          <w:szCs w:val="18"/>
        </w:rPr>
        <w:t>Norway</w:t>
      </w:r>
      <w:r w:rsidR="00F47ECE">
        <w:rPr>
          <w:rFonts w:cs="Arial"/>
          <w:sz w:val="18"/>
          <w:szCs w:val="18"/>
        </w:rPr>
        <w:t>)</w:t>
      </w:r>
      <w:r w:rsidR="0067756D" w:rsidRPr="00013CAD">
        <w:rPr>
          <w:rFonts w:cs="Arial"/>
          <w:sz w:val="18"/>
          <w:szCs w:val="18"/>
        </w:rPr>
        <w:t xml:space="preserve"> and the United Kingdom. </w:t>
      </w:r>
      <w:r w:rsidR="006749FC">
        <w:rPr>
          <w:rFonts w:cs="Arial"/>
          <w:sz w:val="18"/>
          <w:szCs w:val="18"/>
        </w:rPr>
        <w:t xml:space="preserve">A </w:t>
      </w:r>
      <w:r w:rsidR="0067756D" w:rsidRPr="00013CAD">
        <w:rPr>
          <w:rFonts w:cs="Arial"/>
          <w:sz w:val="18"/>
          <w:szCs w:val="18"/>
        </w:rPr>
        <w:t xml:space="preserve">Manager should follow prevailing market practices for international offers, including insertion of legends when necessary to satisfy local legal requirements and restricting distribution of research reports to institutional investors. In addition, </w:t>
      </w:r>
      <w:r w:rsidR="006749FC">
        <w:rPr>
          <w:rFonts w:cs="Arial"/>
          <w:sz w:val="18"/>
          <w:szCs w:val="18"/>
        </w:rPr>
        <w:t xml:space="preserve">such </w:t>
      </w:r>
      <w:r w:rsidR="0067756D" w:rsidRPr="00013CAD">
        <w:rPr>
          <w:rFonts w:cs="Arial"/>
          <w:sz w:val="18"/>
          <w:szCs w:val="18"/>
        </w:rPr>
        <w:t>Manager should observe any prevailing practices for restricting or prohibiting circulation of research report</w:t>
      </w:r>
      <w:r w:rsidR="006749FC">
        <w:rPr>
          <w:rFonts w:cs="Arial"/>
          <w:sz w:val="18"/>
          <w:szCs w:val="18"/>
        </w:rPr>
        <w:t>s</w:t>
      </w:r>
      <w:r w:rsidR="0067756D" w:rsidRPr="00013CAD">
        <w:rPr>
          <w:rFonts w:cs="Arial"/>
          <w:sz w:val="18"/>
          <w:szCs w:val="18"/>
        </w:rPr>
        <w:t xml:space="preserve"> during the marketing period. If a Manager wishes to distribute research reports in jurisdictions other than </w:t>
      </w:r>
      <w:r w:rsidR="00615ED6">
        <w:rPr>
          <w:rFonts w:cs="Arial"/>
          <w:sz w:val="18"/>
          <w:szCs w:val="18"/>
        </w:rPr>
        <w:t>[</w:t>
      </w:r>
      <w:r w:rsidR="0067756D" w:rsidRPr="00013CAD">
        <w:rPr>
          <w:rFonts w:cs="Arial"/>
          <w:sz w:val="18"/>
          <w:szCs w:val="18"/>
        </w:rPr>
        <w:t>the United States,</w:t>
      </w:r>
      <w:r w:rsidR="00615ED6">
        <w:rPr>
          <w:rFonts w:cs="Arial"/>
          <w:sz w:val="18"/>
          <w:szCs w:val="18"/>
        </w:rPr>
        <w:t>]</w:t>
      </w:r>
      <w:r w:rsidR="0067756D" w:rsidRPr="00013CAD">
        <w:rPr>
          <w:rFonts w:cs="Arial"/>
          <w:sz w:val="18"/>
          <w:szCs w:val="18"/>
        </w:rPr>
        <w:t xml:space="preserve"> Norway</w:t>
      </w:r>
      <w:r w:rsidR="00700979">
        <w:rPr>
          <w:rFonts w:cs="Arial"/>
          <w:sz w:val="18"/>
          <w:szCs w:val="18"/>
        </w:rPr>
        <w:t>, other EU/EEA membe</w:t>
      </w:r>
      <w:r w:rsidR="00F9350F">
        <w:rPr>
          <w:rFonts w:cs="Arial"/>
          <w:sz w:val="18"/>
          <w:szCs w:val="18"/>
        </w:rPr>
        <w:t>rs</w:t>
      </w:r>
      <w:r w:rsidR="0067756D" w:rsidRPr="00013CAD">
        <w:rPr>
          <w:rFonts w:cs="Arial"/>
          <w:sz w:val="18"/>
          <w:szCs w:val="18"/>
        </w:rPr>
        <w:t xml:space="preserve"> and the United Kingdom, it is responsible for ascertaining and complying with the applicable legal requirements of those jurisdictions. In such case, local counsel should be consulted.</w:t>
      </w:r>
    </w:p>
    <w:p w14:paraId="58AE06B2" w14:textId="77777777" w:rsidR="0067756D" w:rsidRPr="00013CAD" w:rsidRDefault="0067756D">
      <w:pPr>
        <w:rPr>
          <w:rFonts w:cs="Arial"/>
          <w:sz w:val="18"/>
          <w:szCs w:val="18"/>
        </w:rPr>
      </w:pPr>
    </w:p>
    <w:p w14:paraId="2743B10F" w14:textId="77777777" w:rsidR="0067756D" w:rsidRPr="00013CAD" w:rsidRDefault="0067756D">
      <w:pPr>
        <w:pStyle w:val="SchedApps"/>
        <w:rPr>
          <w:rFonts w:cs="Arial"/>
          <w:sz w:val="18"/>
          <w:szCs w:val="18"/>
          <w:vertAlign w:val="superscript"/>
        </w:rPr>
      </w:pPr>
      <w:bookmarkStart w:id="29" w:name="_Toc260049874"/>
      <w:bookmarkStart w:id="30" w:name="_Toc292783580"/>
      <w:r w:rsidRPr="00013CAD">
        <w:rPr>
          <w:rFonts w:cs="Arial"/>
          <w:sz w:val="18"/>
          <w:szCs w:val="18"/>
        </w:rPr>
        <w:lastRenderedPageBreak/>
        <w:t>Appendix 1</w:t>
      </w:r>
      <w:bookmarkEnd w:id="29"/>
      <w:bookmarkEnd w:id="30"/>
      <w:r w:rsidRPr="00013CAD">
        <w:rPr>
          <w:rFonts w:cs="Arial"/>
          <w:sz w:val="18"/>
          <w:szCs w:val="18"/>
          <w:vertAlign w:val="superscript"/>
        </w:rPr>
        <w:t xml:space="preserve"> </w:t>
      </w:r>
    </w:p>
    <w:p w14:paraId="6AEC507B" w14:textId="77777777" w:rsidR="0067756D" w:rsidRPr="00013CAD" w:rsidRDefault="0067756D" w:rsidP="00C21537">
      <w:pPr>
        <w:pStyle w:val="Head"/>
        <w:jc w:val="center"/>
        <w:rPr>
          <w:rFonts w:cs="Arial"/>
          <w:sz w:val="18"/>
          <w:szCs w:val="18"/>
        </w:rPr>
      </w:pPr>
      <w:r w:rsidRPr="00013CAD">
        <w:rPr>
          <w:rFonts w:cs="Arial"/>
          <w:sz w:val="18"/>
          <w:szCs w:val="18"/>
        </w:rPr>
        <w:t>Form of legend to be used in connection with research reports</w:t>
      </w:r>
    </w:p>
    <w:p w14:paraId="06D87C31" w14:textId="77777777" w:rsidR="0067756D" w:rsidRPr="00013CAD" w:rsidRDefault="0067756D">
      <w:pPr>
        <w:pStyle w:val="Body"/>
        <w:rPr>
          <w:rFonts w:cs="Arial"/>
          <w:sz w:val="18"/>
          <w:szCs w:val="18"/>
        </w:rPr>
      </w:pPr>
      <w:r w:rsidRPr="00013CAD">
        <w:rPr>
          <w:rFonts w:cs="Arial"/>
          <w:sz w:val="18"/>
          <w:szCs w:val="18"/>
        </w:rPr>
        <w:t>THIS DOCUMENT IS BEING FURNISHED TO YOU SOLELY FOR YOUR INFORMATION AND MAY NOT BE REPRODUCED OR REDISTRIBUTED, IN WHOLE OR IN PART, TO ANY OTHER PERSON. IN PARTICULAR, NEITHER THIS DOCUMENT NOR ANY COPY HEREOF MAY BE TAKEN OR RETRANSMITTED IN OR INTO THE UNITED STATES</w:t>
      </w:r>
      <w:r w:rsidR="001D2238">
        <w:rPr>
          <w:rFonts w:cs="Arial"/>
          <w:sz w:val="18"/>
          <w:szCs w:val="18"/>
        </w:rPr>
        <w:t xml:space="preserve"> </w:t>
      </w:r>
      <w:r w:rsidRPr="00013CAD">
        <w:rPr>
          <w:rFonts w:cs="Arial"/>
          <w:sz w:val="18"/>
          <w:szCs w:val="18"/>
        </w:rPr>
        <w:t>OR REDISTRIBUTED, DIRECTLY OR INDIRECTLY, IN THE UNITED STATES. ANY FAILURE TO COMPLY WITH THIS RESTRICTION MAY CONSTITUTE A VIOLATION OF US OR OTHER RELEVANT SECURITIES LAWS.</w:t>
      </w:r>
    </w:p>
    <w:p w14:paraId="3A2120DE" w14:textId="77777777" w:rsidR="0067756D" w:rsidRPr="00013CAD" w:rsidRDefault="0067756D" w:rsidP="007A5AAB">
      <w:pPr>
        <w:pStyle w:val="Body"/>
        <w:rPr>
          <w:rFonts w:cs="Arial"/>
          <w:snapToGrid w:val="0"/>
          <w:sz w:val="18"/>
          <w:szCs w:val="18"/>
        </w:rPr>
      </w:pPr>
      <w:r w:rsidRPr="00013CAD">
        <w:rPr>
          <w:rFonts w:cs="Arial"/>
          <w:sz w:val="18"/>
          <w:szCs w:val="18"/>
        </w:rPr>
        <w:t xml:space="preserve">THIS DOCUMENT IS BEING DISTRIBUTED IN THE UNITED KINGDOM ONLY BY OR WITH THE APPROVAL OF AN AUTHORISED PERSON OR TO (I) </w:t>
      </w:r>
      <w:r w:rsidRPr="003E29C3">
        <w:rPr>
          <w:rFonts w:cs="Arial"/>
          <w:sz w:val="18"/>
          <w:szCs w:val="18"/>
        </w:rPr>
        <w:t>PERSONS WHO HAVE PROFESSIONAL EXPERIENCE IN MATTERS RELATING TO INVESTMENTS FALLING WITHIN ARTICLE 19(1) OF THE FINANCIAL SERVICES AND MARKETS ACT 2000 (FINANCIAL PROMOTION) ORDER 2005 (THE “</w:t>
      </w:r>
      <w:r w:rsidRPr="003E29C3">
        <w:rPr>
          <w:rFonts w:cs="Arial"/>
          <w:b/>
          <w:bCs/>
          <w:sz w:val="18"/>
          <w:szCs w:val="18"/>
        </w:rPr>
        <w:t>ORDER</w:t>
      </w:r>
      <w:r w:rsidRPr="003E29C3">
        <w:rPr>
          <w:rFonts w:cs="Arial"/>
          <w:sz w:val="18"/>
          <w:szCs w:val="18"/>
        </w:rPr>
        <w:t>”) OR (II) PERSONS TO WHOM IT MAY OTHERWISE LAWFULLY BE COMMUNICATED UNDER THE ORDER (TOGETHER “</w:t>
      </w:r>
      <w:r w:rsidRPr="003E29C3">
        <w:rPr>
          <w:rFonts w:cs="Arial"/>
          <w:b/>
          <w:bCs/>
          <w:sz w:val="18"/>
          <w:szCs w:val="18"/>
        </w:rPr>
        <w:t>RELEVANT PERSONS</w:t>
      </w:r>
      <w:r w:rsidRPr="003E29C3">
        <w:rPr>
          <w:rFonts w:cs="Arial"/>
          <w:sz w:val="18"/>
          <w:szCs w:val="18"/>
        </w:rPr>
        <w:t>”).</w:t>
      </w:r>
      <w:r w:rsidRPr="00013CAD">
        <w:rPr>
          <w:rFonts w:cs="Arial"/>
          <w:sz w:val="18"/>
          <w:szCs w:val="18"/>
        </w:rPr>
        <w:t xml:space="preserve"> </w:t>
      </w:r>
    </w:p>
    <w:p w14:paraId="23F6BFEA" w14:textId="77777777" w:rsidR="0067756D" w:rsidRPr="00013CAD" w:rsidRDefault="0067756D">
      <w:pPr>
        <w:pStyle w:val="Body"/>
        <w:rPr>
          <w:rFonts w:cs="Arial"/>
          <w:sz w:val="18"/>
          <w:szCs w:val="18"/>
        </w:rPr>
      </w:pPr>
      <w:r w:rsidRPr="00013CAD">
        <w:rPr>
          <w:rFonts w:cs="Arial"/>
          <w:sz w:val="18"/>
          <w:szCs w:val="18"/>
        </w:rPr>
        <w:t xml:space="preserve">THE DISTRIBUTION OF THIS DOCUMENT IN OTHER JURISDICTIONS MAY BE RESTRICTED BY LAW AND PERSONS INTO WHOSE POSSESSION THIS DOCUMENT COMES SHOULD INFORM THEMSELVES ABOUT, AND OBSERVE, ANY SUCH RESTRICTION. </w:t>
      </w:r>
      <w:r w:rsidRPr="00013CAD">
        <w:rPr>
          <w:rFonts w:cs="Arial"/>
          <w:snapToGrid w:val="0"/>
          <w:sz w:val="18"/>
          <w:szCs w:val="18"/>
        </w:rPr>
        <w:t>ANY FAILURE TO COMPLY WITH THESE RESTRICTIONS MAY CONSTITUTE A VIOLATION OF THE LAWS OF ANY SUCH OTHER JURISDICTION.</w:t>
      </w:r>
      <w:r w:rsidRPr="00013CAD">
        <w:rPr>
          <w:rFonts w:cs="Arial"/>
          <w:sz w:val="18"/>
          <w:szCs w:val="18"/>
        </w:rPr>
        <w:t xml:space="preserve"> </w:t>
      </w:r>
    </w:p>
    <w:p w14:paraId="4C2D30A0" w14:textId="77777777" w:rsidR="0067756D" w:rsidRPr="00013CAD" w:rsidRDefault="0067756D" w:rsidP="006761CE">
      <w:pPr>
        <w:pStyle w:val="Body"/>
        <w:rPr>
          <w:rFonts w:cs="Arial"/>
          <w:sz w:val="18"/>
          <w:szCs w:val="18"/>
        </w:rPr>
      </w:pPr>
      <w:r w:rsidRPr="00013CAD">
        <w:rPr>
          <w:rFonts w:cs="Arial"/>
          <w:sz w:val="18"/>
          <w:szCs w:val="18"/>
        </w:rPr>
        <w:t>THIS DOCUMENT DOES NOT CONSTITUTE AN OFFER OR INVITATION OR FORM PART OF AN OFFER OR INVITATION TO SUBSCRIBE FOR OR PURCHASE ANY SECURITIES, AND NEITHER THIS DOCUMENT NOR ANYTHING CONTAINED HEREIN SHALL FORM THE BASIS OF ANY CONTRACT OR COMMITMENT WHATSOEVER.THIS DOCUMENT IS NOT AN OFFER OF SECURITIES FOR SALE.</w:t>
      </w:r>
      <w:r w:rsidR="00F778CB" w:rsidRPr="00013CAD">
        <w:rPr>
          <w:rFonts w:cs="Arial"/>
          <w:sz w:val="18"/>
          <w:szCs w:val="18"/>
        </w:rPr>
        <w:t xml:space="preserve"> ANY DECISION TO PURCHASE OR SUBSCRIBE FOR SECURITIES IN ANY </w:t>
      </w:r>
      <w:r w:rsidR="00F778CB" w:rsidRPr="000825C0">
        <w:rPr>
          <w:rFonts w:cs="Arial"/>
          <w:sz w:val="18"/>
          <w:szCs w:val="18"/>
        </w:rPr>
        <w:t xml:space="preserve">OFFERING MUST BE MADE SOLELY ON THE BASIS OF THE INFORMATION CONTAINED IN THE OFFERING </w:t>
      </w:r>
      <w:r w:rsidR="00354572" w:rsidRPr="000825C0">
        <w:rPr>
          <w:rFonts w:cs="Arial"/>
          <w:sz w:val="18"/>
          <w:szCs w:val="18"/>
        </w:rPr>
        <w:t>DOCUMENTATION</w:t>
      </w:r>
      <w:r w:rsidR="00F778CB" w:rsidRPr="00013CAD">
        <w:rPr>
          <w:rFonts w:cs="Arial"/>
          <w:sz w:val="18"/>
          <w:szCs w:val="18"/>
        </w:rPr>
        <w:t xml:space="preserve"> (AND ANY SUPPLEMENTS THERETO) OR OTHER OFFERING CIRCULAR ISSUED IN CONNECTION WITH SUCH OFFERING.</w:t>
      </w:r>
    </w:p>
    <w:p w14:paraId="7CAF41F0" w14:textId="17CBAB28" w:rsidR="0067756D" w:rsidRPr="00013CAD" w:rsidRDefault="0067756D" w:rsidP="002E5D8C">
      <w:pPr>
        <w:pStyle w:val="Body"/>
        <w:rPr>
          <w:rFonts w:cs="Arial"/>
          <w:snapToGrid w:val="0"/>
          <w:sz w:val="18"/>
          <w:szCs w:val="18"/>
        </w:rPr>
      </w:pPr>
      <w:r w:rsidRPr="00013CAD">
        <w:rPr>
          <w:rFonts w:cs="Arial"/>
          <w:sz w:val="18"/>
          <w:szCs w:val="18"/>
        </w:rPr>
        <w:t xml:space="preserve">This report has been prepared </w:t>
      </w:r>
      <w:r w:rsidRPr="004A4224">
        <w:rPr>
          <w:rFonts w:cs="Arial"/>
          <w:sz w:val="18"/>
          <w:szCs w:val="18"/>
        </w:rPr>
        <w:t>by [</w:t>
      </w:r>
      <w:r w:rsidRPr="004A4224">
        <w:rPr>
          <w:rFonts w:cs="Arial"/>
          <w:i/>
          <w:sz w:val="18"/>
          <w:szCs w:val="18"/>
        </w:rPr>
        <w:t xml:space="preserve">name of </w:t>
      </w:r>
      <w:r w:rsidR="00282F6C" w:rsidRPr="004A4224">
        <w:rPr>
          <w:rFonts w:cs="Arial"/>
          <w:i/>
          <w:sz w:val="18"/>
          <w:szCs w:val="18"/>
        </w:rPr>
        <w:t>c</w:t>
      </w:r>
      <w:r w:rsidRPr="004A4224">
        <w:rPr>
          <w:rFonts w:cs="Arial"/>
          <w:i/>
          <w:sz w:val="18"/>
          <w:szCs w:val="18"/>
        </w:rPr>
        <w:t xml:space="preserve">onnected </w:t>
      </w:r>
      <w:r w:rsidR="00282F6C" w:rsidRPr="004A4224">
        <w:rPr>
          <w:rFonts w:cs="Arial"/>
          <w:i/>
          <w:sz w:val="18"/>
          <w:szCs w:val="18"/>
        </w:rPr>
        <w:t>a</w:t>
      </w:r>
      <w:r w:rsidRPr="004A4224">
        <w:rPr>
          <w:rFonts w:cs="Arial"/>
          <w:i/>
          <w:sz w:val="18"/>
          <w:szCs w:val="18"/>
        </w:rPr>
        <w:t>nalyst</w:t>
      </w:r>
      <w:r w:rsidR="00747520" w:rsidRPr="004A4224">
        <w:rPr>
          <w:rFonts w:cs="Arial"/>
          <w:b/>
          <w:i/>
          <w:sz w:val="18"/>
          <w:szCs w:val="18"/>
        </w:rPr>
        <w:t>/</w:t>
      </w:r>
      <w:r w:rsidR="00747520" w:rsidRPr="004A4224">
        <w:rPr>
          <w:rFonts w:cs="Arial"/>
          <w:sz w:val="18"/>
          <w:szCs w:val="18"/>
        </w:rPr>
        <w:t>the analysts referred to herein</w:t>
      </w:r>
      <w:r w:rsidR="0058308D" w:rsidRPr="004A4224">
        <w:rPr>
          <w:rFonts w:cs="Arial"/>
          <w:sz w:val="18"/>
          <w:szCs w:val="18"/>
        </w:rPr>
        <w:t>]</w:t>
      </w:r>
      <w:r w:rsidR="00282F6C" w:rsidRPr="004A4224">
        <w:rPr>
          <w:rFonts w:cs="Arial"/>
          <w:sz w:val="18"/>
          <w:szCs w:val="18"/>
        </w:rPr>
        <w:t xml:space="preserve"> (the “</w:t>
      </w:r>
      <w:r w:rsidR="00282F6C" w:rsidRPr="004A4224">
        <w:rPr>
          <w:rFonts w:cs="Arial"/>
          <w:b/>
          <w:sz w:val="18"/>
          <w:szCs w:val="18"/>
        </w:rPr>
        <w:t>Connected Analyst</w:t>
      </w:r>
      <w:r w:rsidR="00282F6C" w:rsidRPr="004A4224">
        <w:rPr>
          <w:rFonts w:cs="Arial"/>
          <w:sz w:val="18"/>
          <w:szCs w:val="18"/>
        </w:rPr>
        <w:t>”)</w:t>
      </w:r>
      <w:r w:rsidRPr="004A4224">
        <w:rPr>
          <w:rFonts w:cs="Arial"/>
          <w:sz w:val="18"/>
          <w:szCs w:val="18"/>
        </w:rPr>
        <w:t xml:space="preserve"> to provide background information about [</w:t>
      </w:r>
      <w:r w:rsidR="00FA5121" w:rsidRPr="004A4224">
        <w:rPr>
          <w:rFonts w:cs="Arial"/>
          <w:i/>
          <w:sz w:val="18"/>
          <w:szCs w:val="18"/>
        </w:rPr>
        <w:t>name of</w:t>
      </w:r>
      <w:r w:rsidR="00FA5121" w:rsidRPr="004A4224">
        <w:rPr>
          <w:rFonts w:cs="Arial"/>
          <w:sz w:val="18"/>
          <w:szCs w:val="18"/>
        </w:rPr>
        <w:t xml:space="preserve"> </w:t>
      </w:r>
      <w:r w:rsidRPr="004A4224">
        <w:rPr>
          <w:rFonts w:cs="Arial"/>
          <w:i/>
          <w:sz w:val="18"/>
          <w:szCs w:val="18"/>
        </w:rPr>
        <w:t xml:space="preserve">the </w:t>
      </w:r>
      <w:r w:rsidR="00FA5121" w:rsidRPr="004A4224">
        <w:rPr>
          <w:rFonts w:cs="Arial"/>
          <w:i/>
          <w:sz w:val="18"/>
          <w:szCs w:val="18"/>
        </w:rPr>
        <w:t>c</w:t>
      </w:r>
      <w:r w:rsidRPr="004A4224">
        <w:rPr>
          <w:rFonts w:cs="Arial"/>
          <w:i/>
          <w:sz w:val="18"/>
          <w:szCs w:val="18"/>
        </w:rPr>
        <w:t>ompany</w:t>
      </w:r>
      <w:r w:rsidR="00FA5121" w:rsidRPr="004A4224">
        <w:rPr>
          <w:rFonts w:cs="Arial"/>
          <w:i/>
          <w:sz w:val="18"/>
          <w:szCs w:val="18"/>
        </w:rPr>
        <w:t xml:space="preserve"> covered</w:t>
      </w:r>
      <w:r w:rsidR="00747520" w:rsidRPr="004A4224">
        <w:rPr>
          <w:rFonts w:cs="Arial"/>
          <w:b/>
          <w:i/>
          <w:sz w:val="18"/>
          <w:szCs w:val="18"/>
        </w:rPr>
        <w:t>/</w:t>
      </w:r>
      <w:r w:rsidR="00747520" w:rsidRPr="004A4224">
        <w:rPr>
          <w:rFonts w:cs="Arial"/>
          <w:sz w:val="18"/>
          <w:szCs w:val="18"/>
        </w:rPr>
        <w:t>the company discussed herein</w:t>
      </w:r>
      <w:r w:rsidR="0058308D" w:rsidRPr="004A4224">
        <w:rPr>
          <w:rFonts w:cs="Arial"/>
          <w:sz w:val="18"/>
          <w:szCs w:val="18"/>
        </w:rPr>
        <w:t>]</w:t>
      </w:r>
      <w:r w:rsidR="00747520" w:rsidRPr="004A4224">
        <w:rPr>
          <w:rFonts w:cs="Arial"/>
          <w:sz w:val="18"/>
          <w:szCs w:val="18"/>
        </w:rPr>
        <w:t xml:space="preserve"> </w:t>
      </w:r>
      <w:r w:rsidRPr="004A4224">
        <w:rPr>
          <w:rFonts w:cs="Arial"/>
          <w:sz w:val="18"/>
          <w:szCs w:val="18"/>
        </w:rPr>
        <w:t>(the “</w:t>
      </w:r>
      <w:r w:rsidRPr="004A4224">
        <w:rPr>
          <w:rFonts w:cs="Arial"/>
          <w:b/>
          <w:bCs/>
          <w:sz w:val="18"/>
          <w:szCs w:val="18"/>
        </w:rPr>
        <w:t>Company</w:t>
      </w:r>
      <w:r w:rsidRPr="004A4224">
        <w:rPr>
          <w:rFonts w:cs="Arial"/>
          <w:sz w:val="18"/>
          <w:szCs w:val="18"/>
        </w:rPr>
        <w:t>”). Connected Analyst or an affiliated company of Connected Analyst is or may be a member of the same group as one of the managers in respect of a proposed offering</w:t>
      </w:r>
      <w:r w:rsidRPr="00013CAD">
        <w:rPr>
          <w:rFonts w:cs="Arial"/>
          <w:sz w:val="18"/>
          <w:szCs w:val="18"/>
        </w:rPr>
        <w:t xml:space="preserve"> of securities of the Company. This report has been produced independently of the Company and the forecasts, opinions and expectations contained herein are entirely those of Connected Analyst. While all reasonable care has been taken to ensure that the facts stated herein are accurate and that the forecasts, opinions and expectations contained herein are fair and reasonable, Connected Analyst has not verified the contents hereof and, accordingly, neither Connected Analyst, </w:t>
      </w:r>
      <w:r w:rsidR="00766159">
        <w:rPr>
          <w:rFonts w:cs="Arial"/>
          <w:sz w:val="18"/>
          <w:szCs w:val="18"/>
        </w:rPr>
        <w:t xml:space="preserve">the Connected Analyst’s employer, </w:t>
      </w:r>
      <w:r w:rsidRPr="00013CAD">
        <w:rPr>
          <w:rFonts w:cs="Arial"/>
          <w:sz w:val="18"/>
          <w:szCs w:val="18"/>
        </w:rPr>
        <w:t xml:space="preserve">the Company, nor any of their respective directors, officers or employees, shall be in any way responsible for the contents hereof, no representation or warranty, express or implied is made as to the accuracy and no reliance should be placed on the accuracy, fairness or completeness of the information contained in this document. No person accepts any liability whatsoever for any loss howsoever arising from any use of this document or its contents or otherwise arising in connection therewith. Connected Analyst may in the future participate in an offering of Company’s securities or other transactions with the Company and its affiliates. </w:t>
      </w:r>
      <w:r w:rsidRPr="00013CAD">
        <w:rPr>
          <w:rFonts w:cs="Arial"/>
          <w:snapToGrid w:val="0"/>
          <w:sz w:val="18"/>
          <w:szCs w:val="18"/>
        </w:rPr>
        <w:t xml:space="preserve">Any opinions, forecasts or estimates herein constitute a judgement as at the date of this report. There can be no assurance that future results or events will be consistent with any such opinions, forecasts or estimates. This information is subject to change without notice and its accuracy is not guaranteed. It may be incomplete or </w:t>
      </w:r>
      <w:r w:rsidR="007A756C" w:rsidRPr="00013CAD">
        <w:rPr>
          <w:rFonts w:cs="Arial"/>
          <w:snapToGrid w:val="0"/>
          <w:sz w:val="18"/>
          <w:szCs w:val="18"/>
        </w:rPr>
        <w:t>condensed,</w:t>
      </w:r>
      <w:r w:rsidRPr="00013CAD">
        <w:rPr>
          <w:rFonts w:cs="Arial"/>
          <w:snapToGrid w:val="0"/>
          <w:sz w:val="18"/>
          <w:szCs w:val="18"/>
        </w:rPr>
        <w:t xml:space="preserve"> and it may not contain all material information concerning the Company. Any decision to purchase securities in any proposed offering should be made solely on the basis of the information to be contained in the final prospectus to be published by the Company in due course in relation to the</w:t>
      </w:r>
      <w:r w:rsidRPr="00013CAD">
        <w:rPr>
          <w:rFonts w:cs="Arial"/>
          <w:sz w:val="18"/>
          <w:szCs w:val="18"/>
        </w:rPr>
        <w:t xml:space="preserve"> proposed offering</w:t>
      </w:r>
      <w:r w:rsidRPr="00013CAD">
        <w:rPr>
          <w:rFonts w:cs="Arial"/>
          <w:snapToGrid w:val="0"/>
          <w:sz w:val="18"/>
          <w:szCs w:val="18"/>
        </w:rPr>
        <w:t>.</w:t>
      </w:r>
    </w:p>
    <w:p w14:paraId="6A818FE4" w14:textId="77777777" w:rsidR="0067756D" w:rsidRPr="00013CAD" w:rsidRDefault="0067756D" w:rsidP="004E2B57">
      <w:pPr>
        <w:pStyle w:val="Body"/>
        <w:rPr>
          <w:rFonts w:cs="Arial"/>
          <w:snapToGrid w:val="0"/>
          <w:sz w:val="18"/>
          <w:szCs w:val="18"/>
        </w:rPr>
      </w:pPr>
      <w:r w:rsidRPr="00013CAD">
        <w:rPr>
          <w:rFonts w:cs="Arial"/>
          <w:sz w:val="18"/>
          <w:szCs w:val="18"/>
        </w:rPr>
        <w:t xml:space="preserve">THE </w:t>
      </w:r>
      <w:r w:rsidR="004F3114" w:rsidRPr="00013CAD">
        <w:rPr>
          <w:rFonts w:cs="Arial"/>
          <w:sz w:val="18"/>
          <w:szCs w:val="18"/>
        </w:rPr>
        <w:t>MANAGER</w:t>
      </w:r>
      <w:r w:rsidRPr="00013CAD">
        <w:rPr>
          <w:rFonts w:cs="Arial"/>
          <w:sz w:val="18"/>
          <w:szCs w:val="18"/>
        </w:rPr>
        <w:t xml:space="preserve"> (OR ITS OFFICERS, DIRECTORS OR EMPLOYEES) MAY, TO THE EXTENT PERMITTED BY LAW, HAVE A POSITION IN THE SECURITIES OF (OR OPTIONS, WARRANTS OR RIGHTS WITH RESPECT TO, OR INTEREST IN THE SHARES OR OTHER SECURITIES OF) THE COMPANY AND THE </w:t>
      </w:r>
      <w:r w:rsidR="004F3114" w:rsidRPr="00013CAD">
        <w:rPr>
          <w:rFonts w:cs="Arial"/>
          <w:sz w:val="18"/>
          <w:szCs w:val="18"/>
        </w:rPr>
        <w:lastRenderedPageBreak/>
        <w:t>MANAGER</w:t>
      </w:r>
      <w:r w:rsidRPr="00013CAD">
        <w:rPr>
          <w:rFonts w:cs="Arial"/>
          <w:sz w:val="18"/>
          <w:szCs w:val="18"/>
        </w:rPr>
        <w:t xml:space="preserve"> MAY MAKE A MARKET OR ACT AS A PRINCIPAL IN ANY TRANSACTIONS IN SUCH SECURITIES.</w:t>
      </w:r>
    </w:p>
    <w:p w14:paraId="077A19D7" w14:textId="77777777" w:rsidR="0067756D" w:rsidRPr="00013CAD" w:rsidRDefault="0067756D">
      <w:pPr>
        <w:pStyle w:val="Body"/>
        <w:rPr>
          <w:rFonts w:cs="Arial"/>
          <w:snapToGrid w:val="0"/>
          <w:sz w:val="18"/>
          <w:szCs w:val="18"/>
        </w:rPr>
      </w:pPr>
      <w:r w:rsidRPr="00013CAD">
        <w:rPr>
          <w:rFonts w:cs="Arial"/>
          <w:sz w:val="18"/>
          <w:szCs w:val="18"/>
        </w:rPr>
        <w:t>BY ACCEPTING THIS REPORT, YOU AGREE TO BE BOUND BY THE FOREGOING LIMITATIONS.</w:t>
      </w:r>
    </w:p>
    <w:p w14:paraId="723DF1D1" w14:textId="77777777" w:rsidR="0067756D" w:rsidRPr="00013CAD" w:rsidRDefault="0067756D">
      <w:pPr>
        <w:pStyle w:val="Body1"/>
        <w:ind w:left="0"/>
        <w:jc w:val="center"/>
        <w:rPr>
          <w:rFonts w:cs="Arial"/>
          <w:b/>
          <w:bCs/>
          <w:snapToGrid w:val="0"/>
          <w:sz w:val="18"/>
          <w:szCs w:val="18"/>
        </w:rPr>
      </w:pPr>
    </w:p>
    <w:p w14:paraId="4D72DF47" w14:textId="77777777" w:rsidR="0067756D" w:rsidRPr="00013CAD" w:rsidRDefault="0067756D" w:rsidP="006761CE">
      <w:pPr>
        <w:pStyle w:val="Head"/>
        <w:jc w:val="center"/>
        <w:rPr>
          <w:rFonts w:cs="Arial"/>
          <w:b w:val="0"/>
          <w:bCs/>
          <w:snapToGrid w:val="0"/>
          <w:sz w:val="18"/>
          <w:szCs w:val="18"/>
        </w:rPr>
      </w:pPr>
      <w:r w:rsidRPr="00013CAD">
        <w:rPr>
          <w:rFonts w:cs="Arial"/>
          <w:sz w:val="18"/>
          <w:szCs w:val="18"/>
        </w:rPr>
        <w:t>The following legend should appear as a footer on each page of the research report:</w:t>
      </w:r>
      <w:r w:rsidRPr="00013CAD">
        <w:rPr>
          <w:rFonts w:cs="Arial"/>
          <w:b w:val="0"/>
          <w:bCs/>
          <w:snapToGrid w:val="0"/>
          <w:sz w:val="18"/>
          <w:szCs w:val="18"/>
        </w:rPr>
        <w:t xml:space="preserve"> </w:t>
      </w:r>
      <w:r w:rsidRPr="00013CAD">
        <w:rPr>
          <w:rFonts w:cs="Arial"/>
          <w:b w:val="0"/>
          <w:bCs/>
          <w:snapToGrid w:val="0"/>
          <w:sz w:val="18"/>
          <w:szCs w:val="18"/>
        </w:rPr>
        <w:br/>
      </w:r>
    </w:p>
    <w:p w14:paraId="4AEC867A" w14:textId="77777777" w:rsidR="0067756D" w:rsidRPr="00013CAD" w:rsidRDefault="0067756D">
      <w:pPr>
        <w:pStyle w:val="Body1"/>
        <w:ind w:left="0"/>
        <w:jc w:val="center"/>
        <w:rPr>
          <w:rFonts w:cs="Arial"/>
          <w:sz w:val="18"/>
          <w:szCs w:val="18"/>
        </w:rPr>
      </w:pPr>
      <w:r w:rsidRPr="00013CAD">
        <w:rPr>
          <w:rFonts w:cs="Arial"/>
          <w:snapToGrid w:val="0"/>
          <w:sz w:val="18"/>
          <w:szCs w:val="18"/>
        </w:rPr>
        <w:t>THIS DOCUMENT MAY NOT BE DISTRIBUTED IN OR INTO THE UNITED STATES</w:t>
      </w:r>
    </w:p>
    <w:p w14:paraId="6EEFCE6F" w14:textId="77777777" w:rsidR="0067756D" w:rsidRPr="00013CAD" w:rsidRDefault="0067756D">
      <w:pPr>
        <w:pStyle w:val="SchedApps"/>
        <w:rPr>
          <w:rFonts w:cs="Arial"/>
          <w:sz w:val="18"/>
          <w:szCs w:val="18"/>
        </w:rPr>
      </w:pPr>
      <w:bookmarkStart w:id="31" w:name="_Toc260049875"/>
      <w:bookmarkStart w:id="32" w:name="_Toc292783581"/>
      <w:r w:rsidRPr="00013CAD">
        <w:rPr>
          <w:rFonts w:cs="Arial"/>
          <w:sz w:val="18"/>
          <w:szCs w:val="18"/>
        </w:rPr>
        <w:lastRenderedPageBreak/>
        <w:t>Appendix 2</w:t>
      </w:r>
      <w:bookmarkEnd w:id="31"/>
      <w:bookmarkEnd w:id="32"/>
    </w:p>
    <w:p w14:paraId="00CF698C" w14:textId="77777777" w:rsidR="0067756D" w:rsidRPr="0058308D" w:rsidRDefault="0067756D" w:rsidP="0094416A">
      <w:pPr>
        <w:pStyle w:val="Head"/>
        <w:jc w:val="center"/>
        <w:rPr>
          <w:rFonts w:cs="Arial"/>
          <w:sz w:val="18"/>
          <w:szCs w:val="18"/>
        </w:rPr>
      </w:pPr>
      <w:r w:rsidRPr="00013CAD">
        <w:rPr>
          <w:rFonts w:cs="Arial"/>
          <w:sz w:val="18"/>
          <w:szCs w:val="18"/>
        </w:rPr>
        <w:t xml:space="preserve">Form of legend to be used in connection </w:t>
      </w:r>
      <w:r w:rsidRPr="0058308D">
        <w:rPr>
          <w:rFonts w:cs="Arial"/>
          <w:sz w:val="18"/>
          <w:szCs w:val="18"/>
        </w:rPr>
        <w:t>with the electronic distribution of research reports</w:t>
      </w:r>
      <w:r w:rsidR="00FC47C1" w:rsidRPr="0058308D">
        <w:rPr>
          <w:rFonts w:cs="Arial"/>
          <w:sz w:val="18"/>
          <w:szCs w:val="18"/>
        </w:rPr>
        <w:t xml:space="preserve"> </w:t>
      </w:r>
    </w:p>
    <w:p w14:paraId="3010BEA8" w14:textId="4FB9EBFC" w:rsidR="0067756D" w:rsidRPr="00013CAD" w:rsidRDefault="0067756D" w:rsidP="0094416A">
      <w:pPr>
        <w:rPr>
          <w:rFonts w:cs="Arial"/>
          <w:sz w:val="18"/>
          <w:szCs w:val="18"/>
        </w:rPr>
      </w:pPr>
      <w:r w:rsidRPr="0058308D">
        <w:rPr>
          <w:rFonts w:cs="Arial"/>
          <w:sz w:val="18"/>
          <w:szCs w:val="18"/>
        </w:rPr>
        <w:t>IMPORTANT: You must read the following disclaimer before continuing. The following disclaimer applies to the attached research report (the ‘‘document’’</w:t>
      </w:r>
      <w:r w:rsidR="00EF5748" w:rsidRPr="0058308D">
        <w:rPr>
          <w:rFonts w:cs="Arial"/>
          <w:sz w:val="18"/>
          <w:szCs w:val="18"/>
        </w:rPr>
        <w:t>),</w:t>
      </w:r>
      <w:r w:rsidRPr="0058308D">
        <w:rPr>
          <w:rFonts w:cs="Arial"/>
          <w:sz w:val="18"/>
          <w:szCs w:val="18"/>
        </w:rPr>
        <w:t xml:space="preserve"> and you are therefore advised</w:t>
      </w:r>
      <w:r w:rsidRPr="00013CAD">
        <w:rPr>
          <w:rFonts w:cs="Arial"/>
          <w:sz w:val="18"/>
          <w:szCs w:val="18"/>
        </w:rPr>
        <w:t xml:space="preserve"> to read this carefully before reading, accessing or making any other use of the document. In accessing the document, you agree to be bound by the following terms and conditions, including any modifications to them from time to time, each time you receive any information from us as a result of such access. You acknowledge that this electronic transmission and the delivery of the document is confidential and intended only for you and you agree you will not forward, reproduce or publish this electronic transmission or the attached document to any other person.</w:t>
      </w:r>
    </w:p>
    <w:p w14:paraId="0D6EFF9D" w14:textId="77777777" w:rsidR="0067756D" w:rsidRPr="00013CAD" w:rsidRDefault="0067756D" w:rsidP="0094416A">
      <w:pPr>
        <w:rPr>
          <w:rFonts w:cs="Arial"/>
          <w:sz w:val="18"/>
          <w:szCs w:val="18"/>
        </w:rPr>
      </w:pPr>
    </w:p>
    <w:p w14:paraId="7650DB13" w14:textId="77777777" w:rsidR="0067756D" w:rsidRPr="00013CAD" w:rsidRDefault="0067756D" w:rsidP="0094416A">
      <w:pPr>
        <w:rPr>
          <w:rFonts w:cs="Arial"/>
          <w:sz w:val="18"/>
          <w:szCs w:val="18"/>
        </w:rPr>
      </w:pPr>
      <w:r w:rsidRPr="00013CAD">
        <w:rPr>
          <w:rFonts w:cs="Arial"/>
          <w:sz w:val="18"/>
          <w:szCs w:val="18"/>
        </w:rPr>
        <w:t>NOTHING IN THIS ELECTRONIC TRANSMISSION CONSTITUTES A PUBLIC OFFER OF SECURITIES FOR SALE IN THE UNITED STATES</w:t>
      </w:r>
      <w:r w:rsidR="00F10FD1">
        <w:rPr>
          <w:rFonts w:cs="Arial"/>
          <w:sz w:val="18"/>
          <w:szCs w:val="18"/>
        </w:rPr>
        <w:t xml:space="preserve"> </w:t>
      </w:r>
      <w:r w:rsidRPr="00013CAD">
        <w:rPr>
          <w:rFonts w:cs="Arial"/>
          <w:sz w:val="18"/>
          <w:szCs w:val="18"/>
        </w:rPr>
        <w:t xml:space="preserve">OR ANY OTHER JURISDICTION WHERE IT IS UNLAWFUL TO DO SO.  </w:t>
      </w:r>
    </w:p>
    <w:p w14:paraId="16F15078" w14:textId="77777777" w:rsidR="0067756D" w:rsidRPr="00013CAD" w:rsidRDefault="0067756D" w:rsidP="0094416A">
      <w:pPr>
        <w:rPr>
          <w:rFonts w:cs="Arial"/>
          <w:sz w:val="18"/>
          <w:szCs w:val="18"/>
        </w:rPr>
      </w:pPr>
    </w:p>
    <w:p w14:paraId="42A8BE52" w14:textId="77777777" w:rsidR="0067756D" w:rsidRPr="00013CAD" w:rsidRDefault="0067756D" w:rsidP="0094416A">
      <w:pPr>
        <w:rPr>
          <w:rFonts w:cs="Arial"/>
          <w:sz w:val="18"/>
          <w:szCs w:val="18"/>
        </w:rPr>
      </w:pPr>
      <w:r w:rsidRPr="00013CAD">
        <w:rPr>
          <w:rFonts w:cs="Arial"/>
          <w:sz w:val="18"/>
          <w:szCs w:val="18"/>
        </w:rPr>
        <w:t>THE SECURITIES WILL NOT BE REGISTERED UNDER THE US SECURITIES ACT OF 1933 (THE ‘‘US SECURITIES ACT’’) OR WITH ANY SECURITIES REGULATORY AUTHORITY OF ANY STATE OR OTHER JURISDICTION OF THE UNITED STATES AND MAY NOT BE OFFERED OR SOLD IN THE UNITED STATES EXCEPT (1) IN ACCORDANCE WITH RULE 144A UNDER THE US SECURITIES ACT (‘‘RULE 144A’’) TO A PERSON THAT THE HOLDER AND ANY PERSON ACTING ON ITS BEHALF REASONABLY BELIEVES IS A QUALIFIED INSTITUTIONAL BUYER (“QIB”) AS DEFINED IN AND IN ACCORDANCE WITH RULE 144A OR (2) IN AN OFFSHORE TRANSACTION IN ACCORDANCE WITH RULE 903 OR RULE 904 OF REGULATION S UNDER THE US SECURITIES ACT</w:t>
      </w:r>
      <w:r w:rsidR="00EC4835">
        <w:rPr>
          <w:rFonts w:cs="Arial"/>
          <w:sz w:val="18"/>
          <w:szCs w:val="18"/>
        </w:rPr>
        <w:t xml:space="preserve"> OR (3) </w:t>
      </w:r>
      <w:r w:rsidR="009916EE">
        <w:rPr>
          <w:rFonts w:cs="Arial"/>
          <w:sz w:val="18"/>
          <w:szCs w:val="18"/>
        </w:rPr>
        <w:t xml:space="preserve">IN ACCORDANCE WITH </w:t>
      </w:r>
      <w:r w:rsidR="00EC4835">
        <w:rPr>
          <w:rFonts w:cs="Arial"/>
          <w:sz w:val="18"/>
          <w:szCs w:val="18"/>
        </w:rPr>
        <w:t>ANOTHER APPLICABLE EXEMPTION</w:t>
      </w:r>
      <w:r w:rsidRPr="00013CAD">
        <w:rPr>
          <w:rFonts w:cs="Arial"/>
          <w:sz w:val="18"/>
          <w:szCs w:val="18"/>
        </w:rPr>
        <w:t>, IN EACH CASE IN ACCORDANCE WITH ANY APPLICABLE SECURITIES LAWS OF ANY STATE OF THE UNITED STATES.</w:t>
      </w:r>
    </w:p>
    <w:p w14:paraId="5E9A2881" w14:textId="77777777" w:rsidR="0067756D" w:rsidRPr="00013CAD" w:rsidRDefault="0067756D" w:rsidP="0094416A">
      <w:pPr>
        <w:rPr>
          <w:rFonts w:cs="Arial"/>
          <w:sz w:val="18"/>
          <w:szCs w:val="18"/>
        </w:rPr>
      </w:pPr>
    </w:p>
    <w:p w14:paraId="5B10B919" w14:textId="77777777" w:rsidR="0067756D" w:rsidRPr="00013CAD" w:rsidRDefault="0067756D" w:rsidP="0094416A">
      <w:pPr>
        <w:rPr>
          <w:rFonts w:cs="Arial"/>
          <w:sz w:val="18"/>
          <w:szCs w:val="18"/>
        </w:rPr>
      </w:pPr>
      <w:r w:rsidRPr="00013CAD">
        <w:rPr>
          <w:rFonts w:cs="Arial"/>
          <w:b/>
          <w:sz w:val="18"/>
          <w:szCs w:val="18"/>
        </w:rPr>
        <w:t>Confirmation of your representation:</w:t>
      </w:r>
      <w:r w:rsidRPr="00013CAD">
        <w:rPr>
          <w:rFonts w:cs="Arial"/>
          <w:sz w:val="18"/>
          <w:szCs w:val="18"/>
        </w:rPr>
        <w:t xml:space="preserve"> The document is delivered to you at your request and on the basis that you have confirmed to </w:t>
      </w:r>
      <w:r w:rsidR="00282F6C" w:rsidRPr="00013CAD">
        <w:rPr>
          <w:rFonts w:cs="Arial"/>
          <w:sz w:val="18"/>
          <w:szCs w:val="18"/>
        </w:rPr>
        <w:t xml:space="preserve">us </w:t>
      </w:r>
      <w:r w:rsidRPr="00013CAD">
        <w:rPr>
          <w:rFonts w:cs="Arial"/>
          <w:sz w:val="18"/>
          <w:szCs w:val="18"/>
        </w:rPr>
        <w:t>that (i) you are either located outside the United States; (ii) if you are in the United Kingdom, you are a Relevant Person; (iii) you are outside the United Kingdom (and the electronic mail addresses that you gave us and to which this document has been delivered are not located in such jurisdictions) or (</w:t>
      </w:r>
      <w:r w:rsidR="00CA5E71">
        <w:rPr>
          <w:rFonts w:cs="Arial"/>
          <w:sz w:val="18"/>
          <w:szCs w:val="18"/>
        </w:rPr>
        <w:t>iv</w:t>
      </w:r>
      <w:r w:rsidRPr="00013CAD">
        <w:rPr>
          <w:rFonts w:cs="Arial"/>
          <w:sz w:val="18"/>
          <w:szCs w:val="18"/>
        </w:rPr>
        <w:t>) you are a person into whose possession this document may lawfully be delivered in accordance with the laws of the jurisdiction in which you are located.</w:t>
      </w:r>
    </w:p>
    <w:p w14:paraId="2B99E4ED" w14:textId="77777777" w:rsidR="0067756D" w:rsidRPr="00013CAD" w:rsidRDefault="0067756D" w:rsidP="0094416A">
      <w:pPr>
        <w:rPr>
          <w:rFonts w:cs="Arial"/>
          <w:sz w:val="18"/>
          <w:szCs w:val="18"/>
        </w:rPr>
      </w:pPr>
      <w:r w:rsidRPr="00013CAD">
        <w:rPr>
          <w:rFonts w:cs="Arial"/>
          <w:sz w:val="18"/>
          <w:szCs w:val="18"/>
        </w:rPr>
        <w:t xml:space="preserve">   </w:t>
      </w:r>
    </w:p>
    <w:p w14:paraId="49F020B4" w14:textId="77777777" w:rsidR="0067756D" w:rsidRPr="00013CAD" w:rsidRDefault="0067756D" w:rsidP="00034A29">
      <w:pPr>
        <w:autoSpaceDE w:val="0"/>
        <w:autoSpaceDN w:val="0"/>
        <w:adjustRightInd w:val="0"/>
        <w:rPr>
          <w:rFonts w:cs="Arial"/>
          <w:sz w:val="18"/>
          <w:szCs w:val="18"/>
        </w:rPr>
      </w:pPr>
      <w:r w:rsidRPr="00013CAD">
        <w:rPr>
          <w:rFonts w:cs="Arial"/>
          <w:sz w:val="18"/>
          <w:szCs w:val="18"/>
        </w:rPr>
        <w:t xml:space="preserve">This document has been made available to you in an electronic form. You are reminded that documents transmitted via this medium may be altered or changed during the process of electronic transmission and consequently </w:t>
      </w:r>
      <w:r w:rsidR="00282F6C" w:rsidRPr="00013CAD">
        <w:rPr>
          <w:rFonts w:cs="Arial"/>
          <w:sz w:val="18"/>
          <w:szCs w:val="18"/>
        </w:rPr>
        <w:t>we</w:t>
      </w:r>
      <w:r w:rsidRPr="00013CAD">
        <w:rPr>
          <w:rFonts w:cs="Arial"/>
          <w:sz w:val="18"/>
          <w:szCs w:val="18"/>
        </w:rPr>
        <w:t xml:space="preserve"> do not accept any liability or responsibility whatsoever in respect of any difference between the document distributed to you in electronic format and </w:t>
      </w:r>
      <w:r w:rsidR="00F10FD1">
        <w:rPr>
          <w:rFonts w:cs="Arial"/>
          <w:sz w:val="18"/>
          <w:szCs w:val="18"/>
        </w:rPr>
        <w:t>any</w:t>
      </w:r>
      <w:r w:rsidR="00F10FD1" w:rsidRPr="00013CAD">
        <w:rPr>
          <w:rFonts w:cs="Arial"/>
          <w:sz w:val="18"/>
          <w:szCs w:val="18"/>
        </w:rPr>
        <w:t xml:space="preserve"> </w:t>
      </w:r>
      <w:r w:rsidRPr="00013CAD">
        <w:rPr>
          <w:rFonts w:cs="Arial"/>
          <w:sz w:val="18"/>
          <w:szCs w:val="18"/>
        </w:rPr>
        <w:t>hard copy version. By accessing</w:t>
      </w:r>
      <w:r w:rsidR="00034A29">
        <w:rPr>
          <w:rFonts w:cs="Arial"/>
          <w:sz w:val="18"/>
          <w:szCs w:val="18"/>
        </w:rPr>
        <w:t xml:space="preserve"> </w:t>
      </w:r>
      <w:r w:rsidRPr="00013CAD">
        <w:rPr>
          <w:rFonts w:cs="Arial"/>
          <w:sz w:val="18"/>
          <w:szCs w:val="18"/>
        </w:rPr>
        <w:t>the linked document, you consent to receiving it in electronic form.</w:t>
      </w:r>
    </w:p>
    <w:p w14:paraId="1C23739B" w14:textId="77777777" w:rsidR="0067756D" w:rsidRPr="00013CAD" w:rsidRDefault="0067756D" w:rsidP="0094416A">
      <w:pPr>
        <w:rPr>
          <w:rFonts w:cs="Arial"/>
          <w:sz w:val="18"/>
          <w:szCs w:val="18"/>
        </w:rPr>
      </w:pPr>
    </w:p>
    <w:p w14:paraId="1716CF76" w14:textId="77777777" w:rsidR="0067756D" w:rsidRPr="00013CAD" w:rsidRDefault="0067756D" w:rsidP="0094416A">
      <w:pPr>
        <w:rPr>
          <w:rFonts w:cs="Arial"/>
          <w:sz w:val="18"/>
          <w:szCs w:val="18"/>
        </w:rPr>
      </w:pPr>
      <w:r w:rsidRPr="00013CAD">
        <w:rPr>
          <w:rFonts w:cs="Arial"/>
          <w:b/>
          <w:sz w:val="18"/>
          <w:szCs w:val="18"/>
        </w:rPr>
        <w:t>Restriction:</w:t>
      </w:r>
      <w:r w:rsidRPr="00013CAD">
        <w:rPr>
          <w:rFonts w:cs="Arial"/>
          <w:sz w:val="18"/>
          <w:szCs w:val="18"/>
        </w:rPr>
        <w:t xml:space="preserve"> Nothing in this electronic transmission constitutes an offer of securities for sale to persons other than the specified QIBs described above and to whom it is directed and access has been limited so that it shall not constitute a general solicitation. If you have gained access to this transmission contrary to the foregoing restrictions, you will be unable to purchase any of the securities described therein.</w:t>
      </w:r>
    </w:p>
    <w:p w14:paraId="6121A6A6" w14:textId="77777777" w:rsidR="0067756D" w:rsidRPr="00013CAD" w:rsidRDefault="0067756D" w:rsidP="0094416A">
      <w:pPr>
        <w:rPr>
          <w:rFonts w:cs="Arial"/>
          <w:sz w:val="18"/>
          <w:szCs w:val="18"/>
        </w:rPr>
      </w:pPr>
    </w:p>
    <w:p w14:paraId="630324C4" w14:textId="0A31CA69" w:rsidR="0067756D" w:rsidRPr="00013CAD" w:rsidRDefault="0067756D" w:rsidP="0094416A">
      <w:pPr>
        <w:rPr>
          <w:rFonts w:cs="Arial"/>
          <w:sz w:val="18"/>
          <w:szCs w:val="18"/>
        </w:rPr>
      </w:pPr>
      <w:r w:rsidRPr="00013CAD">
        <w:rPr>
          <w:rFonts w:cs="Arial"/>
          <w:b/>
          <w:sz w:val="18"/>
          <w:szCs w:val="18"/>
        </w:rPr>
        <w:t>You are responsible for protecting against viruses and other destructive items.</w:t>
      </w:r>
      <w:r w:rsidRPr="00013CAD">
        <w:rPr>
          <w:rFonts w:cs="Arial"/>
          <w:sz w:val="18"/>
          <w:szCs w:val="18"/>
        </w:rPr>
        <w:t xml:space="preserve"> Your receipt of the electronic transmission is at your own </w:t>
      </w:r>
      <w:r w:rsidR="00EC4F95" w:rsidRPr="00013CAD">
        <w:rPr>
          <w:rFonts w:cs="Arial"/>
          <w:sz w:val="18"/>
          <w:szCs w:val="18"/>
        </w:rPr>
        <w:t>risk,</w:t>
      </w:r>
      <w:r w:rsidRPr="00013CAD">
        <w:rPr>
          <w:rFonts w:cs="Arial"/>
          <w:sz w:val="18"/>
          <w:szCs w:val="18"/>
        </w:rPr>
        <w:t xml:space="preserve"> and it is your responsibility to take precautions to ensure that it is free from viruses and other items of a destructive nature.</w:t>
      </w:r>
    </w:p>
    <w:p w14:paraId="0AA653B7" w14:textId="77777777" w:rsidR="0067756D" w:rsidRPr="00013CAD" w:rsidRDefault="0067756D" w:rsidP="00B02DF9">
      <w:pPr>
        <w:pStyle w:val="SchedApps"/>
        <w:rPr>
          <w:rFonts w:cs="Arial"/>
          <w:sz w:val="18"/>
          <w:szCs w:val="18"/>
        </w:rPr>
      </w:pPr>
      <w:bookmarkStart w:id="33" w:name="_Toc260049878"/>
      <w:bookmarkStart w:id="34" w:name="_Toc292697119"/>
      <w:bookmarkStart w:id="35" w:name="_Toc292783582"/>
      <w:r w:rsidRPr="00013CAD">
        <w:rPr>
          <w:rFonts w:cs="Arial"/>
          <w:sz w:val="18"/>
          <w:szCs w:val="18"/>
        </w:rPr>
        <w:lastRenderedPageBreak/>
        <w:t xml:space="preserve">Appendix </w:t>
      </w:r>
      <w:bookmarkEnd w:id="33"/>
      <w:r w:rsidRPr="00013CAD">
        <w:rPr>
          <w:rFonts w:cs="Arial"/>
          <w:sz w:val="18"/>
          <w:szCs w:val="18"/>
        </w:rPr>
        <w:t>3</w:t>
      </w:r>
      <w:bookmarkEnd w:id="34"/>
      <w:bookmarkEnd w:id="35"/>
    </w:p>
    <w:p w14:paraId="29E64529" w14:textId="77777777" w:rsidR="0067756D" w:rsidRPr="00013CAD" w:rsidRDefault="0067756D" w:rsidP="00B02DF9">
      <w:pPr>
        <w:pStyle w:val="Head"/>
        <w:jc w:val="center"/>
        <w:rPr>
          <w:rFonts w:cs="Arial"/>
          <w:sz w:val="18"/>
          <w:szCs w:val="18"/>
        </w:rPr>
      </w:pPr>
      <w:r w:rsidRPr="00013CAD">
        <w:rPr>
          <w:rFonts w:cs="Arial"/>
          <w:sz w:val="18"/>
          <w:szCs w:val="18"/>
        </w:rPr>
        <w:t>Updates and revisions to research reports</w:t>
      </w:r>
    </w:p>
    <w:p w14:paraId="01F7F9C9" w14:textId="77777777" w:rsidR="0067756D" w:rsidRPr="00013CAD" w:rsidRDefault="0067756D" w:rsidP="00B02DF9">
      <w:pPr>
        <w:pStyle w:val="Body1"/>
        <w:rPr>
          <w:rFonts w:cs="Arial"/>
          <w:sz w:val="18"/>
          <w:szCs w:val="18"/>
        </w:rPr>
      </w:pPr>
    </w:p>
    <w:p w14:paraId="213636DD" w14:textId="77777777" w:rsidR="0067756D" w:rsidRPr="00013CAD" w:rsidRDefault="0067756D" w:rsidP="00B02DF9">
      <w:pPr>
        <w:pStyle w:val="Body"/>
        <w:rPr>
          <w:rFonts w:cs="Arial"/>
          <w:sz w:val="18"/>
          <w:szCs w:val="18"/>
        </w:rPr>
      </w:pPr>
      <w:r w:rsidRPr="00013CAD">
        <w:rPr>
          <w:rFonts w:cs="Arial"/>
          <w:sz w:val="18"/>
          <w:szCs w:val="18"/>
        </w:rPr>
        <w:t xml:space="preserve">Where </w:t>
      </w:r>
      <w:r w:rsidR="00190A40">
        <w:rPr>
          <w:rFonts w:cs="Arial"/>
          <w:sz w:val="18"/>
          <w:szCs w:val="18"/>
        </w:rPr>
        <w:t xml:space="preserve">a </w:t>
      </w:r>
      <w:r w:rsidRPr="00013CAD">
        <w:rPr>
          <w:rFonts w:cs="Arial"/>
          <w:sz w:val="18"/>
          <w:szCs w:val="18"/>
        </w:rPr>
        <w:t>Connected Analysts wish</w:t>
      </w:r>
      <w:r w:rsidR="00190A40">
        <w:rPr>
          <w:rFonts w:cs="Arial"/>
          <w:sz w:val="18"/>
          <w:szCs w:val="18"/>
        </w:rPr>
        <w:t>es</w:t>
      </w:r>
      <w:r w:rsidRPr="00013CAD">
        <w:rPr>
          <w:rFonts w:cs="Arial"/>
          <w:sz w:val="18"/>
          <w:szCs w:val="18"/>
        </w:rPr>
        <w:t xml:space="preserve"> to update or revise </w:t>
      </w:r>
      <w:r w:rsidR="00190A40">
        <w:rPr>
          <w:rFonts w:cs="Arial"/>
          <w:sz w:val="18"/>
          <w:szCs w:val="18"/>
        </w:rPr>
        <w:t>his or her</w:t>
      </w:r>
      <w:r w:rsidR="00190A40" w:rsidRPr="00013CAD">
        <w:rPr>
          <w:rFonts w:cs="Arial"/>
          <w:sz w:val="18"/>
          <w:szCs w:val="18"/>
        </w:rPr>
        <w:t xml:space="preserve"> </w:t>
      </w:r>
      <w:r w:rsidRPr="00013CAD">
        <w:rPr>
          <w:rFonts w:cs="Arial"/>
          <w:sz w:val="18"/>
          <w:szCs w:val="18"/>
        </w:rPr>
        <w:t xml:space="preserve">research on publication of the </w:t>
      </w:r>
      <w:r w:rsidR="00190A40" w:rsidRPr="00013CAD">
        <w:rPr>
          <w:rFonts w:cs="Arial"/>
          <w:sz w:val="18"/>
          <w:szCs w:val="18"/>
        </w:rPr>
        <w:t>Prospec</w:t>
      </w:r>
      <w:r w:rsidR="00190A40">
        <w:rPr>
          <w:rFonts w:cs="Arial"/>
          <w:sz w:val="18"/>
          <w:szCs w:val="18"/>
        </w:rPr>
        <w:t>tu</w:t>
      </w:r>
      <w:r w:rsidR="00190A40" w:rsidRPr="00013CAD">
        <w:rPr>
          <w:rFonts w:cs="Arial"/>
          <w:sz w:val="18"/>
          <w:szCs w:val="18"/>
        </w:rPr>
        <w:t>s</w:t>
      </w:r>
      <w:r w:rsidRPr="00013CAD">
        <w:rPr>
          <w:rFonts w:cs="Arial"/>
          <w:sz w:val="18"/>
          <w:szCs w:val="18"/>
        </w:rPr>
        <w:t>, the following procedures would be acceptable:</w:t>
      </w:r>
    </w:p>
    <w:p w14:paraId="37E38186" w14:textId="77777777" w:rsidR="0067756D" w:rsidRPr="00013CAD" w:rsidRDefault="0067756D" w:rsidP="004B2AE4">
      <w:pPr>
        <w:pStyle w:val="Schedule1"/>
        <w:numPr>
          <w:ilvl w:val="0"/>
          <w:numId w:val="35"/>
        </w:numPr>
        <w:tabs>
          <w:tab w:val="num" w:pos="720"/>
        </w:tabs>
        <w:rPr>
          <w:rFonts w:cs="Arial"/>
          <w:sz w:val="18"/>
          <w:szCs w:val="18"/>
        </w:rPr>
      </w:pPr>
      <w:r w:rsidRPr="00013CAD">
        <w:rPr>
          <w:rFonts w:cs="Arial"/>
          <w:sz w:val="18"/>
          <w:szCs w:val="18"/>
        </w:rPr>
        <w:t xml:space="preserve">A supplemental </w:t>
      </w:r>
      <w:r w:rsidR="00190A40">
        <w:rPr>
          <w:rFonts w:cs="Arial"/>
          <w:sz w:val="18"/>
          <w:szCs w:val="18"/>
        </w:rPr>
        <w:t xml:space="preserve">research </w:t>
      </w:r>
      <w:r w:rsidRPr="00013CAD">
        <w:rPr>
          <w:rFonts w:cs="Arial"/>
          <w:sz w:val="18"/>
          <w:szCs w:val="18"/>
        </w:rPr>
        <w:t xml:space="preserve">report (i.e. not a revised report but a separate supplemental document) may be published within a short period of the date of publication of the Prospectus, </w:t>
      </w:r>
      <w:r w:rsidRPr="00013CAD">
        <w:rPr>
          <w:rFonts w:cs="Arial"/>
          <w:snapToGrid w:val="0"/>
          <w:sz w:val="18"/>
          <w:szCs w:val="18"/>
        </w:rPr>
        <w:t>provided that the Managers</w:t>
      </w:r>
      <w:r w:rsidR="00873D3F" w:rsidRPr="00013CAD">
        <w:rPr>
          <w:rFonts w:cs="Arial"/>
          <w:snapToGrid w:val="0"/>
          <w:sz w:val="18"/>
          <w:szCs w:val="18"/>
        </w:rPr>
        <w:t xml:space="preserve">’ legal counsel </w:t>
      </w:r>
      <w:r w:rsidRPr="00013CAD">
        <w:rPr>
          <w:rFonts w:cs="Arial"/>
          <w:snapToGrid w:val="0"/>
          <w:sz w:val="18"/>
          <w:szCs w:val="18"/>
        </w:rPr>
        <w:t>authorises the publication of the research report before it is issued after discussion with international counsel, if appointed.</w:t>
      </w:r>
    </w:p>
    <w:p w14:paraId="2DECB5DE" w14:textId="77777777" w:rsidR="0067756D" w:rsidRPr="00013CAD" w:rsidRDefault="0067756D" w:rsidP="004B2AE4">
      <w:pPr>
        <w:pStyle w:val="Schedule1"/>
        <w:numPr>
          <w:ilvl w:val="0"/>
          <w:numId w:val="35"/>
        </w:numPr>
        <w:tabs>
          <w:tab w:val="num" w:pos="720"/>
        </w:tabs>
        <w:rPr>
          <w:rFonts w:cs="Arial"/>
          <w:sz w:val="18"/>
          <w:szCs w:val="18"/>
        </w:rPr>
      </w:pPr>
      <w:r w:rsidRPr="00013CAD">
        <w:rPr>
          <w:rFonts w:cs="Arial"/>
          <w:sz w:val="18"/>
          <w:szCs w:val="18"/>
        </w:rPr>
        <w:t xml:space="preserve">Any supplemental </w:t>
      </w:r>
      <w:r w:rsidR="00190A40">
        <w:rPr>
          <w:rFonts w:cs="Arial"/>
          <w:sz w:val="18"/>
          <w:szCs w:val="18"/>
        </w:rPr>
        <w:t xml:space="preserve">research </w:t>
      </w:r>
      <w:r w:rsidRPr="00013CAD">
        <w:rPr>
          <w:rFonts w:cs="Arial"/>
          <w:sz w:val="18"/>
          <w:szCs w:val="18"/>
        </w:rPr>
        <w:t>report should carry an additional legend as follows:</w:t>
      </w:r>
    </w:p>
    <w:p w14:paraId="6D09C45C" w14:textId="77777777" w:rsidR="0067756D" w:rsidRPr="00013CAD" w:rsidRDefault="0067756D" w:rsidP="00B02DF9">
      <w:pPr>
        <w:pStyle w:val="Body2"/>
        <w:rPr>
          <w:rFonts w:cs="Arial"/>
          <w:b/>
          <w:bCs/>
          <w:sz w:val="18"/>
          <w:szCs w:val="18"/>
        </w:rPr>
      </w:pPr>
      <w:r w:rsidRPr="00013CAD">
        <w:rPr>
          <w:rFonts w:cs="Arial"/>
          <w:b/>
          <w:bCs/>
          <w:sz w:val="18"/>
          <w:szCs w:val="18"/>
        </w:rPr>
        <w:t>Due to the appointment of [Manager] in connection with the transaction involving [name of Company], [Manager] is prohibited from repeating, revising or updating any forecast, estimate, projection or recommendation which it may previously have issued in relation to the Company’s securities. Accordingly, any such forecast, estimate, projection or recommendation made prior to the date of this document may not accurately represent the current opinion of [Manager] in relation to the subject matter of such forecast, estimate, projection or recommendation and should not be relied upon when deciding whether or not to invest in any securities issued by the Company.</w:t>
      </w:r>
    </w:p>
    <w:p w14:paraId="2ABEFEE6" w14:textId="77777777" w:rsidR="0067756D" w:rsidRPr="00013CAD" w:rsidRDefault="0067756D" w:rsidP="00B02DF9">
      <w:pPr>
        <w:pStyle w:val="Body1"/>
        <w:rPr>
          <w:rFonts w:cs="Arial"/>
          <w:sz w:val="18"/>
          <w:szCs w:val="18"/>
        </w:rPr>
      </w:pPr>
      <w:r w:rsidRPr="00013CAD">
        <w:rPr>
          <w:rFonts w:cs="Arial"/>
          <w:sz w:val="18"/>
          <w:szCs w:val="18"/>
        </w:rPr>
        <w:t xml:space="preserve">If, in fact, </w:t>
      </w:r>
      <w:r w:rsidR="00190A40">
        <w:rPr>
          <w:rFonts w:cs="Arial"/>
          <w:sz w:val="18"/>
          <w:szCs w:val="18"/>
        </w:rPr>
        <w:t xml:space="preserve">a </w:t>
      </w:r>
      <w:r w:rsidRPr="00013CAD">
        <w:rPr>
          <w:rFonts w:cs="Arial"/>
          <w:sz w:val="18"/>
          <w:szCs w:val="18"/>
        </w:rPr>
        <w:t xml:space="preserve">previous research </w:t>
      </w:r>
      <w:r w:rsidR="00190A40">
        <w:rPr>
          <w:rFonts w:cs="Arial"/>
          <w:sz w:val="18"/>
          <w:szCs w:val="18"/>
        </w:rPr>
        <w:t xml:space="preserve">report </w:t>
      </w:r>
      <w:r w:rsidRPr="00013CAD">
        <w:rPr>
          <w:rFonts w:cs="Arial"/>
          <w:sz w:val="18"/>
          <w:szCs w:val="18"/>
        </w:rPr>
        <w:t>did not include a forecast etc. or recommendation, this additional legend can be omitted.</w:t>
      </w:r>
    </w:p>
    <w:p w14:paraId="7C459298" w14:textId="77777777" w:rsidR="0067756D" w:rsidRPr="00013CAD" w:rsidRDefault="0067756D" w:rsidP="004B2AE4">
      <w:pPr>
        <w:pStyle w:val="Schedule1"/>
        <w:numPr>
          <w:ilvl w:val="0"/>
          <w:numId w:val="35"/>
        </w:numPr>
        <w:tabs>
          <w:tab w:val="num" w:pos="720"/>
        </w:tabs>
        <w:rPr>
          <w:rFonts w:cs="Arial"/>
          <w:sz w:val="18"/>
          <w:szCs w:val="18"/>
        </w:rPr>
      </w:pPr>
      <w:r w:rsidRPr="00013CAD">
        <w:rPr>
          <w:rFonts w:cs="Arial"/>
          <w:sz w:val="18"/>
          <w:szCs w:val="18"/>
        </w:rPr>
        <w:t xml:space="preserve">The supplemental </w:t>
      </w:r>
      <w:r w:rsidR="00190A40">
        <w:rPr>
          <w:rFonts w:cs="Arial"/>
          <w:sz w:val="18"/>
          <w:szCs w:val="18"/>
        </w:rPr>
        <w:t xml:space="preserve">research </w:t>
      </w:r>
      <w:r w:rsidRPr="00013CAD">
        <w:rPr>
          <w:rFonts w:cs="Arial"/>
          <w:sz w:val="18"/>
          <w:szCs w:val="18"/>
        </w:rPr>
        <w:t xml:space="preserve">report must be expressly published solely for the purpose of responding to disclosures made in the Prospectus of which account was not taken in the previous </w:t>
      </w:r>
      <w:r w:rsidR="00190A40">
        <w:rPr>
          <w:rFonts w:cs="Arial"/>
          <w:sz w:val="18"/>
          <w:szCs w:val="18"/>
        </w:rPr>
        <w:t xml:space="preserve">research </w:t>
      </w:r>
      <w:r w:rsidRPr="00013CAD">
        <w:rPr>
          <w:rFonts w:cs="Arial"/>
          <w:sz w:val="18"/>
          <w:szCs w:val="18"/>
        </w:rPr>
        <w:t xml:space="preserve">report or to take account of other </w:t>
      </w:r>
      <w:r w:rsidRPr="005E02B0">
        <w:rPr>
          <w:rFonts w:cs="Arial"/>
          <w:sz w:val="18"/>
          <w:szCs w:val="18"/>
        </w:rPr>
        <w:t>significant external events which are not specific to the Company. It would be preferable if the additional disclosures followed the Prospectus verbatim and there must not be additional qualitative commentary.</w:t>
      </w:r>
      <w:r w:rsidR="00E47EA2" w:rsidRPr="00013CAD">
        <w:rPr>
          <w:rFonts w:cs="Arial"/>
          <w:sz w:val="18"/>
          <w:szCs w:val="18"/>
        </w:rPr>
        <w:t xml:space="preserve"> </w:t>
      </w:r>
    </w:p>
    <w:p w14:paraId="1415D7A5" w14:textId="77777777" w:rsidR="0067756D" w:rsidRPr="00013CAD" w:rsidRDefault="0067756D" w:rsidP="004B2AE4">
      <w:pPr>
        <w:pStyle w:val="Schedule1"/>
        <w:numPr>
          <w:ilvl w:val="0"/>
          <w:numId w:val="35"/>
        </w:numPr>
        <w:tabs>
          <w:tab w:val="num" w:pos="720"/>
        </w:tabs>
        <w:rPr>
          <w:rFonts w:cs="Arial"/>
          <w:sz w:val="18"/>
          <w:szCs w:val="18"/>
        </w:rPr>
      </w:pPr>
      <w:r w:rsidRPr="00013CAD">
        <w:rPr>
          <w:rFonts w:cs="Arial"/>
          <w:sz w:val="18"/>
          <w:szCs w:val="18"/>
        </w:rPr>
        <w:t xml:space="preserve">The supplemental </w:t>
      </w:r>
      <w:r w:rsidR="00B37C46">
        <w:rPr>
          <w:rFonts w:cs="Arial"/>
          <w:sz w:val="18"/>
          <w:szCs w:val="18"/>
        </w:rPr>
        <w:t xml:space="preserve">research </w:t>
      </w:r>
      <w:r w:rsidRPr="00013CAD">
        <w:rPr>
          <w:rFonts w:cs="Arial"/>
          <w:sz w:val="18"/>
          <w:szCs w:val="18"/>
        </w:rPr>
        <w:t>report should not include any forecast, estimate or projection in relation to the future performance, profits or prospects of the Company, and should not contain any buy or sell recommendation.</w:t>
      </w:r>
    </w:p>
    <w:p w14:paraId="24FE8353" w14:textId="092EC50B" w:rsidR="0067756D" w:rsidRPr="00013CAD" w:rsidRDefault="0067756D" w:rsidP="009D68B6">
      <w:pPr>
        <w:pStyle w:val="Body"/>
        <w:rPr>
          <w:rFonts w:cs="Arial"/>
          <w:sz w:val="18"/>
          <w:szCs w:val="18"/>
        </w:rPr>
      </w:pPr>
      <w:r w:rsidRPr="00013CAD">
        <w:rPr>
          <w:rFonts w:cs="Arial"/>
          <w:sz w:val="18"/>
          <w:szCs w:val="18"/>
        </w:rPr>
        <w:t xml:space="preserve">The supplemental </w:t>
      </w:r>
      <w:r w:rsidR="00B37C46">
        <w:rPr>
          <w:rFonts w:cs="Arial"/>
          <w:sz w:val="18"/>
          <w:szCs w:val="18"/>
        </w:rPr>
        <w:t xml:space="preserve">research </w:t>
      </w:r>
      <w:r w:rsidRPr="00013CAD">
        <w:rPr>
          <w:rFonts w:cs="Arial"/>
          <w:sz w:val="18"/>
          <w:szCs w:val="18"/>
        </w:rPr>
        <w:t>report should be distributed in accordance with, and otherwise comply with, the restrictions set out in the</w:t>
      </w:r>
      <w:r w:rsidR="00217C1C">
        <w:rPr>
          <w:rFonts w:cs="Arial"/>
          <w:sz w:val="18"/>
          <w:szCs w:val="18"/>
        </w:rPr>
        <w:t>se guidelines</w:t>
      </w:r>
      <w:r w:rsidRPr="00013CAD">
        <w:rPr>
          <w:rFonts w:cs="Arial"/>
          <w:sz w:val="18"/>
          <w:szCs w:val="18"/>
        </w:rPr>
        <w:t xml:space="preserve"> Relating to Distribution of Pre-IPO Research Reports dated [●]</w:t>
      </w:r>
      <w:r w:rsidR="00C37B93">
        <w:rPr>
          <w:rFonts w:cs="Arial"/>
          <w:sz w:val="18"/>
          <w:szCs w:val="18"/>
        </w:rPr>
        <w:t>, and</w:t>
      </w:r>
      <w:r w:rsidR="00202CD4">
        <w:rPr>
          <w:rFonts w:cs="Arial"/>
          <w:sz w:val="18"/>
          <w:szCs w:val="18"/>
        </w:rPr>
        <w:t xml:space="preserve"> it must only be distributed to investors who</w:t>
      </w:r>
      <w:r w:rsidR="00464E48">
        <w:rPr>
          <w:rFonts w:cs="Arial"/>
          <w:sz w:val="18"/>
          <w:szCs w:val="18"/>
        </w:rPr>
        <w:t xml:space="preserve"> previously </w:t>
      </w:r>
      <w:r w:rsidR="00C561CB">
        <w:rPr>
          <w:rFonts w:cs="Arial"/>
          <w:sz w:val="18"/>
          <w:szCs w:val="18"/>
        </w:rPr>
        <w:t xml:space="preserve">have received  </w:t>
      </w:r>
      <w:r w:rsidR="00D314A4">
        <w:rPr>
          <w:rFonts w:cs="Arial"/>
          <w:sz w:val="18"/>
          <w:szCs w:val="18"/>
        </w:rPr>
        <w:t xml:space="preserve">the </w:t>
      </w:r>
      <w:r w:rsidR="006573E4">
        <w:rPr>
          <w:rFonts w:cs="Arial"/>
          <w:sz w:val="18"/>
          <w:szCs w:val="18"/>
        </w:rPr>
        <w:t xml:space="preserve">original </w:t>
      </w:r>
      <w:r w:rsidR="00992550">
        <w:rPr>
          <w:rFonts w:cs="Arial"/>
          <w:sz w:val="18"/>
          <w:szCs w:val="18"/>
        </w:rPr>
        <w:t>research report.</w:t>
      </w:r>
    </w:p>
    <w:sectPr w:rsidR="0067756D" w:rsidRPr="00013CAD" w:rsidSect="002E7C31">
      <w:headerReference w:type="even" r:id="rId11"/>
      <w:headerReference w:type="default" r:id="rId12"/>
      <w:footerReference w:type="default" r:id="rId13"/>
      <w:headerReference w:type="first" r:id="rId14"/>
      <w:pgSz w:w="11907" w:h="16839" w:code="9"/>
      <w:pgMar w:top="1701" w:right="1588" w:bottom="1304" w:left="1588" w:header="766" w:footer="482"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35000" w14:textId="77777777" w:rsidR="00953927" w:rsidRDefault="00953927">
      <w:r>
        <w:separator/>
      </w:r>
    </w:p>
  </w:endnote>
  <w:endnote w:type="continuationSeparator" w:id="0">
    <w:p w14:paraId="01C34938" w14:textId="77777777" w:rsidR="00953927" w:rsidRDefault="0095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7C4B" w14:textId="77777777" w:rsidR="00F927EC" w:rsidRDefault="00F927EC" w:rsidP="002E7C31">
    <w:pPr>
      <w:pStyle w:val="DocExCode"/>
      <w:jc w:val="center"/>
    </w:pPr>
    <w:r>
      <w:rPr>
        <w:rStyle w:val="Sidetall"/>
        <w:kern w:val="17"/>
      </w:rPr>
      <w:fldChar w:fldCharType="begin"/>
    </w:r>
    <w:r>
      <w:rPr>
        <w:rStyle w:val="Sidetall"/>
        <w:kern w:val="17"/>
      </w:rPr>
      <w:instrText xml:space="preserve"> PAGE </w:instrText>
    </w:r>
    <w:r>
      <w:rPr>
        <w:rStyle w:val="Sidetall"/>
        <w:kern w:val="17"/>
      </w:rPr>
      <w:fldChar w:fldCharType="separate"/>
    </w:r>
    <w:r w:rsidR="00C72DD9">
      <w:rPr>
        <w:rStyle w:val="Sidetall"/>
        <w:noProof/>
        <w:kern w:val="17"/>
      </w:rPr>
      <w:t>6</w:t>
    </w:r>
    <w:r>
      <w:rPr>
        <w:rStyle w:val="Sidetall"/>
        <w:kern w:val="17"/>
      </w:rPr>
      <w:fldChar w:fldCharType="end"/>
    </w:r>
  </w:p>
  <w:p w14:paraId="3F5E2808" w14:textId="77777777" w:rsidR="00F927EC" w:rsidRPr="002E7C31" w:rsidRDefault="00F927EC" w:rsidP="002E7C3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6D520" w14:textId="77777777" w:rsidR="00953927" w:rsidRDefault="00953927">
      <w:pPr>
        <w:pStyle w:val="Bunntekst"/>
      </w:pPr>
    </w:p>
  </w:footnote>
  <w:footnote w:type="continuationSeparator" w:id="0">
    <w:p w14:paraId="747741B4" w14:textId="77777777" w:rsidR="00953927" w:rsidRDefault="00953927">
      <w:r>
        <w:continuationSeparator/>
      </w:r>
    </w:p>
  </w:footnote>
  <w:footnote w:id="1">
    <w:p w14:paraId="0EAC0B6D" w14:textId="77777777" w:rsidR="001E1FA0" w:rsidRPr="001E1FA0" w:rsidRDefault="001E1FA0">
      <w:pPr>
        <w:pStyle w:val="Fotnotetekst"/>
      </w:pPr>
      <w:r>
        <w:rPr>
          <w:rStyle w:val="Fotnotereferanse"/>
        </w:rPr>
        <w:footnoteRef/>
      </w:r>
      <w:r>
        <w:t xml:space="preserve"> </w:t>
      </w:r>
      <w:r>
        <w:tab/>
      </w:r>
      <w:r>
        <w:rPr>
          <w:sz w:val="16"/>
          <w:szCs w:val="16"/>
        </w:rPr>
        <w:t>The term IPO in this document relates to listing processes on Euronext Oslo Børs and Euronext Expand</w:t>
      </w:r>
      <w:r w:rsidR="00F21EDF">
        <w:rPr>
          <w:sz w:val="16"/>
          <w:szCs w:val="16"/>
        </w:rPr>
        <w:t>.</w:t>
      </w:r>
      <w:r>
        <w:rPr>
          <w:sz w:val="16"/>
          <w:szCs w:val="16"/>
        </w:rPr>
        <w:t xml:space="preserve"> </w:t>
      </w:r>
    </w:p>
  </w:footnote>
  <w:footnote w:id="2">
    <w:p w14:paraId="793F05BF" w14:textId="77777777" w:rsidR="00F927EC" w:rsidRPr="00013CAD" w:rsidRDefault="00F927EC">
      <w:pPr>
        <w:pStyle w:val="Fotnotetekst"/>
        <w:rPr>
          <w:sz w:val="16"/>
          <w:szCs w:val="16"/>
        </w:rPr>
      </w:pPr>
      <w:r>
        <w:rPr>
          <w:rStyle w:val="Fotnotereferanse"/>
        </w:rPr>
        <w:footnoteRef/>
      </w:r>
      <w:r>
        <w:t xml:space="preserve"> </w:t>
      </w:r>
      <w:r>
        <w:tab/>
      </w:r>
      <w:r w:rsidRPr="00013CAD">
        <w:rPr>
          <w:sz w:val="16"/>
          <w:szCs w:val="16"/>
        </w:rPr>
        <w:t>The term “</w:t>
      </w:r>
      <w:r w:rsidRPr="00013CAD">
        <w:rPr>
          <w:b/>
          <w:bCs/>
          <w:sz w:val="16"/>
          <w:szCs w:val="16"/>
        </w:rPr>
        <w:t>research report</w:t>
      </w:r>
      <w:r w:rsidRPr="00013CAD">
        <w:rPr>
          <w:sz w:val="16"/>
          <w:szCs w:val="16"/>
        </w:rPr>
        <w:t xml:space="preserve">” includes any circular, opinion, recommendation or other research material regarding or referring to the Company, its securities and/or the Group, including company-specific reports, industry or country reports, updates or reissues of previously distributed reports, screen-based material and other material distributed through electronic means. The following </w:t>
      </w:r>
      <w:r w:rsidRPr="007B2FEB">
        <w:rPr>
          <w:sz w:val="16"/>
          <w:szCs w:val="16"/>
          <w:u w:val="single"/>
        </w:rPr>
        <w:t>may</w:t>
      </w:r>
      <w:r w:rsidRPr="00013CAD">
        <w:rPr>
          <w:sz w:val="16"/>
          <w:szCs w:val="16"/>
        </w:rPr>
        <w:t xml:space="preserve"> constitute research reports: abstracts, updates, trading ideas, weekly and monthly summaries, industry/market sector reports, portfolio strategy pieces, quantitative research, technical analysis, general market commentary and trading strategies, and research distributed by a Manager that is produced by a third party; for the avoidance of doubt, the mere repetition of factual information released by or on behalf of the Company, such as repetition of information contained in a press release issued by the Company, does not of itself constitute a research report for the purposes of th</w:t>
      </w:r>
      <w:r w:rsidR="00217C1C">
        <w:rPr>
          <w:sz w:val="16"/>
          <w:szCs w:val="16"/>
        </w:rPr>
        <w:t>ese guidelines</w:t>
      </w:r>
      <w:r w:rsidR="00E20A40">
        <w:rPr>
          <w:sz w:val="16"/>
          <w:szCs w:val="16"/>
        </w:rPr>
        <w:t>.</w:t>
      </w:r>
    </w:p>
  </w:footnote>
  <w:footnote w:id="3">
    <w:p w14:paraId="01CC7696" w14:textId="77777777" w:rsidR="00F927EC" w:rsidRPr="00013CAD" w:rsidRDefault="00F927EC">
      <w:pPr>
        <w:pStyle w:val="Fotnotetekst"/>
        <w:rPr>
          <w:sz w:val="16"/>
          <w:szCs w:val="16"/>
        </w:rPr>
      </w:pPr>
      <w:r w:rsidRPr="00013CAD">
        <w:rPr>
          <w:rStyle w:val="Fotnotereferanse"/>
          <w:sz w:val="16"/>
          <w:szCs w:val="16"/>
        </w:rPr>
        <w:footnoteRef/>
      </w:r>
      <w:r w:rsidRPr="00013CAD">
        <w:rPr>
          <w:sz w:val="16"/>
          <w:szCs w:val="16"/>
        </w:rPr>
        <w:t xml:space="preserve"> </w:t>
      </w:r>
      <w:r w:rsidRPr="00013CAD">
        <w:rPr>
          <w:sz w:val="16"/>
          <w:szCs w:val="16"/>
        </w:rPr>
        <w:tab/>
        <w:t>The term “</w:t>
      </w:r>
      <w:r w:rsidRPr="00013CAD">
        <w:rPr>
          <w:b/>
          <w:bCs/>
          <w:sz w:val="16"/>
          <w:szCs w:val="16"/>
        </w:rPr>
        <w:t>Connected Analyst</w:t>
      </w:r>
      <w:r w:rsidRPr="00013CAD">
        <w:rPr>
          <w:sz w:val="16"/>
          <w:szCs w:val="16"/>
        </w:rPr>
        <w:t>” means any person (regardless of whether or not such person holds the job title of “research analyst”) responsible for the preparation of a research report, and any other person who reports directly or indirectly to such person working for a Manager, investment bank or broker associated with the Offering, whether in an advisory capacity or in the distribution of the relevant securities.</w:t>
      </w:r>
    </w:p>
    <w:p w14:paraId="1BEE1842" w14:textId="77777777" w:rsidR="00F927EC" w:rsidRDefault="00F927EC">
      <w:pPr>
        <w:pStyle w:val="Fotnotetekst"/>
      </w:pPr>
    </w:p>
    <w:p w14:paraId="18256590" w14:textId="77777777" w:rsidR="00F927EC" w:rsidRDefault="00F927EC">
      <w:pPr>
        <w:pStyle w:val="Fotnotetekst"/>
      </w:pPr>
    </w:p>
  </w:footnote>
  <w:footnote w:id="4">
    <w:p w14:paraId="6DB5F7A9" w14:textId="77777777" w:rsidR="000B4FCE" w:rsidRPr="00013CAD" w:rsidRDefault="000B4FCE" w:rsidP="000B4FCE">
      <w:pPr>
        <w:pStyle w:val="Fotnotetekst"/>
        <w:rPr>
          <w:sz w:val="16"/>
          <w:szCs w:val="16"/>
        </w:rPr>
      </w:pPr>
      <w:r>
        <w:rPr>
          <w:rStyle w:val="Fotnotereferanse"/>
        </w:rPr>
        <w:footnoteRef/>
      </w:r>
      <w:r w:rsidRPr="00013CAD">
        <w:rPr>
          <w:sz w:val="16"/>
          <w:szCs w:val="16"/>
        </w:rPr>
        <w:tab/>
        <w:t xml:space="preserve">The research report may not be published until the review procedure is complete and the </w:t>
      </w:r>
      <w:r w:rsidR="00357BCB">
        <w:rPr>
          <w:sz w:val="16"/>
          <w:szCs w:val="16"/>
        </w:rPr>
        <w:t>l</w:t>
      </w:r>
      <w:r w:rsidRPr="00013CAD">
        <w:rPr>
          <w:sz w:val="16"/>
          <w:szCs w:val="16"/>
        </w:rPr>
        <w:t>ead Manager has given [written] consent to its publication.</w:t>
      </w:r>
    </w:p>
  </w:footnote>
  <w:footnote w:id="5">
    <w:p w14:paraId="78EB10FE" w14:textId="77777777" w:rsidR="000B4FCE" w:rsidRPr="00013CAD" w:rsidRDefault="000B4FCE" w:rsidP="000B4FCE">
      <w:pPr>
        <w:pStyle w:val="Fotnotetekst"/>
        <w:rPr>
          <w:sz w:val="16"/>
          <w:szCs w:val="16"/>
        </w:rPr>
      </w:pPr>
      <w:r w:rsidRPr="00013CAD">
        <w:rPr>
          <w:rStyle w:val="Fotnotereferanse"/>
          <w:sz w:val="16"/>
          <w:szCs w:val="16"/>
        </w:rPr>
        <w:footnoteRef/>
      </w:r>
      <w:r w:rsidRPr="00013CAD">
        <w:rPr>
          <w:sz w:val="16"/>
          <w:szCs w:val="16"/>
        </w:rPr>
        <w:t xml:space="preserve"> </w:t>
      </w:r>
      <w:r w:rsidRPr="00013CAD">
        <w:rPr>
          <w:sz w:val="16"/>
          <w:szCs w:val="16"/>
        </w:rPr>
        <w:tab/>
        <w:t>This date could be at least 7 calendar days prior to the publication of the Prospectus but will need to be discussed and agreed upon by all the Managers and the Company.</w:t>
      </w:r>
    </w:p>
  </w:footnote>
  <w:footnote w:id="6">
    <w:p w14:paraId="6CF7D130" w14:textId="77777777" w:rsidR="000B4FCE" w:rsidRPr="00013CAD" w:rsidRDefault="000B4FCE" w:rsidP="000B4FCE">
      <w:pPr>
        <w:pStyle w:val="Fotnotetekst"/>
        <w:rPr>
          <w:sz w:val="16"/>
          <w:szCs w:val="16"/>
        </w:rPr>
      </w:pPr>
      <w:r w:rsidRPr="00013CAD">
        <w:rPr>
          <w:rStyle w:val="Fotnotereferanse"/>
          <w:sz w:val="16"/>
          <w:szCs w:val="16"/>
        </w:rPr>
        <w:footnoteRef/>
      </w:r>
      <w:r w:rsidRPr="00013CAD">
        <w:rPr>
          <w:sz w:val="16"/>
          <w:szCs w:val="16"/>
        </w:rPr>
        <w:tab/>
        <w:t xml:space="preserve">This date may be extended if the completion of the distribution of the securities is later than </w:t>
      </w:r>
      <w:r>
        <w:rPr>
          <w:sz w:val="16"/>
          <w:szCs w:val="16"/>
        </w:rPr>
        <w:t xml:space="preserve">40 </w:t>
      </w:r>
      <w:r w:rsidRPr="00013CAD">
        <w:rPr>
          <w:sz w:val="16"/>
          <w:szCs w:val="16"/>
        </w:rPr>
        <w:t>days after the Closing Date</w:t>
      </w:r>
      <w:r>
        <w:rPr>
          <w:sz w:val="16"/>
          <w:szCs w:val="16"/>
        </w:rPr>
        <w:t>, cf section 2 above.</w:t>
      </w:r>
      <w:r w:rsidRPr="00013CAD">
        <w:rPr>
          <w:sz w:val="16"/>
          <w:szCs w:val="16"/>
        </w:rPr>
        <w:t xml:space="preserve">  </w:t>
      </w:r>
    </w:p>
  </w:footnote>
  <w:footnote w:id="7">
    <w:p w14:paraId="7A211472" w14:textId="77777777" w:rsidR="00A63249" w:rsidRPr="003F16DD" w:rsidRDefault="00A63249">
      <w:pPr>
        <w:pStyle w:val="Fotnotetekst"/>
        <w:rPr>
          <w:sz w:val="18"/>
          <w:szCs w:val="18"/>
        </w:rPr>
      </w:pPr>
      <w:r>
        <w:rPr>
          <w:rStyle w:val="Fotnotereferanse"/>
        </w:rPr>
        <w:footnoteRef/>
      </w:r>
      <w:r>
        <w:t xml:space="preserve"> </w:t>
      </w:r>
      <w:r w:rsidR="00E46EB2" w:rsidRPr="003F16DD">
        <w:rPr>
          <w:sz w:val="18"/>
          <w:szCs w:val="18"/>
        </w:rPr>
        <w:t>Distribution r</w:t>
      </w:r>
      <w:r w:rsidR="00081812" w:rsidRPr="003F16DD">
        <w:rPr>
          <w:sz w:val="18"/>
          <w:szCs w:val="18"/>
        </w:rPr>
        <w:t xml:space="preserve">estrictions </w:t>
      </w:r>
      <w:r w:rsidR="00E46EB2" w:rsidRPr="003F16DD">
        <w:rPr>
          <w:sz w:val="18"/>
          <w:szCs w:val="18"/>
        </w:rPr>
        <w:t>for</w:t>
      </w:r>
      <w:r w:rsidR="00081812" w:rsidRPr="003F16DD">
        <w:rPr>
          <w:sz w:val="18"/>
          <w:szCs w:val="18"/>
        </w:rPr>
        <w:t xml:space="preserve"> jurisdictions</w:t>
      </w:r>
      <w:r w:rsidR="00F8589F" w:rsidRPr="003F16DD">
        <w:rPr>
          <w:sz w:val="18"/>
          <w:szCs w:val="18"/>
        </w:rPr>
        <w:t xml:space="preserve"> </w:t>
      </w:r>
      <w:r w:rsidR="00480110" w:rsidRPr="003F16DD">
        <w:rPr>
          <w:sz w:val="18"/>
          <w:szCs w:val="18"/>
        </w:rPr>
        <w:t xml:space="preserve">other </w:t>
      </w:r>
      <w:r w:rsidR="0031133D" w:rsidRPr="003F16DD">
        <w:rPr>
          <w:sz w:val="18"/>
          <w:szCs w:val="18"/>
        </w:rPr>
        <w:t>t</w:t>
      </w:r>
      <w:r w:rsidR="00A70073" w:rsidRPr="003F16DD">
        <w:rPr>
          <w:sz w:val="18"/>
          <w:szCs w:val="18"/>
        </w:rPr>
        <w:t>h</w:t>
      </w:r>
      <w:r w:rsidR="0094557D" w:rsidRPr="003F16DD">
        <w:rPr>
          <w:sz w:val="18"/>
          <w:szCs w:val="18"/>
        </w:rPr>
        <w:t>an</w:t>
      </w:r>
      <w:r w:rsidR="00E46EB2" w:rsidRPr="003F16DD">
        <w:rPr>
          <w:sz w:val="18"/>
          <w:szCs w:val="18"/>
        </w:rPr>
        <w:t xml:space="preserve"> the</w:t>
      </w:r>
      <w:r w:rsidR="00F8589F" w:rsidRPr="003F16DD">
        <w:rPr>
          <w:sz w:val="18"/>
          <w:szCs w:val="18"/>
        </w:rPr>
        <w:t xml:space="preserve"> U</w:t>
      </w:r>
      <w:r w:rsidR="00D97DE0" w:rsidRPr="003F16DD">
        <w:rPr>
          <w:sz w:val="18"/>
          <w:szCs w:val="18"/>
        </w:rPr>
        <w:t xml:space="preserve">nited </w:t>
      </w:r>
      <w:r w:rsidR="00F8589F" w:rsidRPr="003F16DD">
        <w:rPr>
          <w:sz w:val="18"/>
          <w:szCs w:val="18"/>
        </w:rPr>
        <w:t>S</w:t>
      </w:r>
      <w:r w:rsidR="00D97DE0" w:rsidRPr="003F16DD">
        <w:rPr>
          <w:sz w:val="18"/>
          <w:szCs w:val="18"/>
        </w:rPr>
        <w:t>tates</w:t>
      </w:r>
      <w:r w:rsidR="00325D91" w:rsidRPr="003F16DD">
        <w:rPr>
          <w:sz w:val="18"/>
          <w:szCs w:val="18"/>
        </w:rPr>
        <w:t xml:space="preserve">, </w:t>
      </w:r>
      <w:r w:rsidR="005757C9" w:rsidRPr="003F16DD">
        <w:rPr>
          <w:sz w:val="18"/>
          <w:szCs w:val="18"/>
        </w:rPr>
        <w:t xml:space="preserve">the </w:t>
      </w:r>
      <w:r w:rsidR="00325D91" w:rsidRPr="003F16DD">
        <w:rPr>
          <w:sz w:val="18"/>
          <w:szCs w:val="18"/>
        </w:rPr>
        <w:t>United Kingdom</w:t>
      </w:r>
      <w:r w:rsidR="00F8589F" w:rsidRPr="003F16DD">
        <w:rPr>
          <w:sz w:val="18"/>
          <w:szCs w:val="18"/>
        </w:rPr>
        <w:t xml:space="preserve"> and the EEA</w:t>
      </w:r>
      <w:r w:rsidR="001920E8" w:rsidRPr="003F16DD">
        <w:rPr>
          <w:sz w:val="18"/>
          <w:szCs w:val="18"/>
        </w:rPr>
        <w:t>,</w:t>
      </w:r>
      <w:r w:rsidR="00F8589F" w:rsidRPr="003F16DD">
        <w:rPr>
          <w:sz w:val="18"/>
          <w:szCs w:val="18"/>
        </w:rPr>
        <w:t xml:space="preserve"> to be considered</w:t>
      </w:r>
      <w:r w:rsidR="008F4BC7" w:rsidRPr="003F16DD">
        <w:rPr>
          <w:sz w:val="18"/>
          <w:szCs w:val="18"/>
        </w:rPr>
        <w:t xml:space="preserve"> o</w:t>
      </w:r>
      <w:r w:rsidR="00325D91" w:rsidRPr="003F16DD">
        <w:rPr>
          <w:sz w:val="18"/>
          <w:szCs w:val="18"/>
        </w:rPr>
        <w:t>n a case-by-case basis</w:t>
      </w:r>
      <w:r w:rsidR="00D97DE0" w:rsidRPr="003F16DD">
        <w:rPr>
          <w:sz w:val="18"/>
          <w:szCs w:val="18"/>
        </w:rPr>
        <w:t>.</w:t>
      </w:r>
    </w:p>
  </w:footnote>
  <w:footnote w:id="8">
    <w:p w14:paraId="621A5CE9" w14:textId="77777777" w:rsidR="000B3B97" w:rsidRPr="002E6691" w:rsidRDefault="000B3B97">
      <w:pPr>
        <w:pStyle w:val="Fotnotetekst"/>
        <w:rPr>
          <w:sz w:val="18"/>
          <w:szCs w:val="18"/>
        </w:rPr>
      </w:pPr>
      <w:r w:rsidRPr="00172BEE">
        <w:rPr>
          <w:rStyle w:val="Fotnotereferanse"/>
        </w:rPr>
        <w:footnoteRef/>
      </w:r>
      <w:r w:rsidRPr="00172BEE">
        <w:t xml:space="preserve"> </w:t>
      </w:r>
      <w:r w:rsidR="00D21970" w:rsidRPr="002E6691">
        <w:rPr>
          <w:sz w:val="18"/>
          <w:szCs w:val="18"/>
        </w:rPr>
        <w:t xml:space="preserve">Distribution restrictions to be aligned with </w:t>
      </w:r>
      <w:r w:rsidR="00CF32BA" w:rsidRPr="002E6691">
        <w:rPr>
          <w:sz w:val="18"/>
          <w:szCs w:val="18"/>
        </w:rPr>
        <w:t xml:space="preserve">the </w:t>
      </w:r>
      <w:r w:rsidR="00082B5D" w:rsidRPr="002E6691">
        <w:rPr>
          <w:sz w:val="18"/>
          <w:szCs w:val="18"/>
        </w:rPr>
        <w:t>prospectus</w:t>
      </w:r>
      <w:r w:rsidR="003D7E73" w:rsidRPr="002E6691">
        <w:rPr>
          <w:sz w:val="18"/>
          <w:szCs w:val="18"/>
        </w:rPr>
        <w:t xml:space="preserve"> distribution</w:t>
      </w:r>
      <w:r w:rsidR="002E6691" w:rsidRPr="002E6691">
        <w:rPr>
          <w:sz w:val="18"/>
          <w:szCs w:val="18"/>
        </w:rPr>
        <w:t>.</w:t>
      </w:r>
    </w:p>
  </w:footnote>
  <w:footnote w:id="9">
    <w:p w14:paraId="286B4E75" w14:textId="77777777" w:rsidR="00F927EC" w:rsidRPr="00013CAD" w:rsidRDefault="00F927EC" w:rsidP="00B02DF9">
      <w:pPr>
        <w:pStyle w:val="Fotnotetekst"/>
        <w:rPr>
          <w:sz w:val="16"/>
          <w:szCs w:val="16"/>
        </w:rPr>
      </w:pPr>
      <w:r>
        <w:rPr>
          <w:rStyle w:val="Fotnotereferanse"/>
        </w:rPr>
        <w:footnoteRef/>
      </w:r>
      <w:r>
        <w:tab/>
      </w:r>
      <w:r w:rsidRPr="00013CAD">
        <w:rPr>
          <w:sz w:val="16"/>
          <w:szCs w:val="16"/>
        </w:rPr>
        <w:t>General market practice</w:t>
      </w:r>
      <w:r w:rsidR="00FE0916">
        <w:rPr>
          <w:sz w:val="16"/>
          <w:szCs w:val="16"/>
        </w:rPr>
        <w:t>, when distributing research</w:t>
      </w:r>
      <w:r w:rsidRPr="00013CAD">
        <w:rPr>
          <w:sz w:val="16"/>
          <w:szCs w:val="16"/>
        </w:rPr>
        <w:t xml:space="preserve"> </w:t>
      </w:r>
      <w:r w:rsidR="00FE0916">
        <w:rPr>
          <w:sz w:val="16"/>
          <w:szCs w:val="16"/>
        </w:rPr>
        <w:t xml:space="preserve">into the United States, </w:t>
      </w:r>
      <w:r w:rsidRPr="00013CAD">
        <w:rPr>
          <w:sz w:val="16"/>
          <w:szCs w:val="16"/>
        </w:rPr>
        <w:t xml:space="preserve">is to restrict the preparation and delivery of research reports to physical form in order to exercise the greatest control over distribution. Any decision to distribute research reports in electronic form should be made on a case-by-case basis and discussed in advance with any other syndicate members and counsel.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6E35" w14:textId="77777777" w:rsidR="00074180" w:rsidRDefault="00074180">
    <w:pPr>
      <w:pStyle w:val="Topptekst"/>
    </w:pPr>
    <w:r>
      <w:rPr>
        <w:noProof/>
      </w:rPr>
      <mc:AlternateContent>
        <mc:Choice Requires="wps">
          <w:drawing>
            <wp:anchor distT="0" distB="0" distL="0" distR="0" simplePos="0" relativeHeight="251659264" behindDoc="0" locked="0" layoutInCell="1" allowOverlap="1" wp14:anchorId="4297D846" wp14:editId="5650BF88">
              <wp:simplePos x="635" y="635"/>
              <wp:positionH relativeFrom="page">
                <wp:align>right</wp:align>
              </wp:positionH>
              <wp:positionV relativeFrom="page">
                <wp:align>top</wp:align>
              </wp:positionV>
              <wp:extent cx="925195" cy="336550"/>
              <wp:effectExtent l="0" t="0" r="0" b="6350"/>
              <wp:wrapNone/>
              <wp:docPr id="107099368" name="Tekstboks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25195" cy="336550"/>
                      </a:xfrm>
                      <a:prstGeom prst="rect">
                        <a:avLst/>
                      </a:prstGeom>
                      <a:noFill/>
                      <a:ln>
                        <a:noFill/>
                      </a:ln>
                    </wps:spPr>
                    <wps:txbx>
                      <w:txbxContent>
                        <w:p w14:paraId="1B529E80" w14:textId="77777777" w:rsidR="00074180" w:rsidRPr="00074180" w:rsidRDefault="00074180" w:rsidP="00074180">
                          <w:pPr>
                            <w:rPr>
                              <w:rFonts w:eastAsia="Arial" w:cs="Arial"/>
                              <w:noProof/>
                              <w:color w:val="FF5400"/>
                              <w:szCs w:val="20"/>
                            </w:rPr>
                          </w:pPr>
                          <w:r w:rsidRPr="00074180">
                            <w:rPr>
                              <w:rFonts w:eastAsia="Arial" w:cs="Arial"/>
                              <w:noProof/>
                              <w:color w:val="FF5400"/>
                              <w:szCs w:val="20"/>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97D846" id="_x0000_t202" coordsize="21600,21600" o:spt="202" path="m,l,21600r21600,l21600,xe">
              <v:stroke joinstyle="miter"/>
              <v:path gradientshapeok="t" o:connecttype="rect"/>
            </v:shapetype>
            <v:shape id="Tekstboks 2" o:spid="_x0000_s1026" type="#_x0000_t202" alt="Confidential" style="position:absolute;margin-left:21.65pt;margin-top:0;width:72.85pt;height:2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" filled="f" stroked="f">
              <v:textbox style="mso-fit-shape-to-text:t" inset="0,15pt,20pt,0">
                <w:txbxContent>
                  <w:p w14:paraId="1B529E80" w14:textId="77777777" w:rsidR="00074180" w:rsidRPr="00074180" w:rsidRDefault="00074180" w:rsidP="00074180">
                    <w:pPr>
                      <w:rPr>
                        <w:rFonts w:eastAsia="Arial" w:cs="Arial"/>
                        <w:noProof/>
                        <w:color w:val="FF5400"/>
                        <w:szCs w:val="20"/>
                      </w:rPr>
                    </w:pPr>
                    <w:r w:rsidRPr="00074180">
                      <w:rPr>
                        <w:rFonts w:eastAsia="Arial" w:cs="Arial"/>
                        <w:noProof/>
                        <w:color w:val="FF540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F25F" w14:textId="769EBAF9" w:rsidR="006D374F" w:rsidRDefault="00074180" w:rsidP="006D374F">
    <w:pPr>
      <w:ind w:left="1360"/>
      <w:rPr>
        <w:i/>
        <w:iCs/>
        <w:sz w:val="18"/>
        <w:szCs w:val="18"/>
      </w:rPr>
    </w:pPr>
    <w:r>
      <w:rPr>
        <w:i/>
        <w:iCs/>
        <w:noProof/>
        <w:sz w:val="18"/>
        <w:szCs w:val="18"/>
      </w:rPr>
      <mc:AlternateContent>
        <mc:Choice Requires="wps">
          <w:drawing>
            <wp:anchor distT="0" distB="0" distL="0" distR="0" simplePos="0" relativeHeight="251660288" behindDoc="0" locked="0" layoutInCell="1" allowOverlap="1" wp14:anchorId="72D0B6E5" wp14:editId="4C055E03">
              <wp:simplePos x="1009650" y="485775"/>
              <wp:positionH relativeFrom="page">
                <wp:align>right</wp:align>
              </wp:positionH>
              <wp:positionV relativeFrom="page">
                <wp:align>top</wp:align>
              </wp:positionV>
              <wp:extent cx="925195" cy="336550"/>
              <wp:effectExtent l="0" t="0" r="0" b="6350"/>
              <wp:wrapNone/>
              <wp:docPr id="410184403" name="Tekstboks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25195" cy="336550"/>
                      </a:xfrm>
                      <a:prstGeom prst="rect">
                        <a:avLst/>
                      </a:prstGeom>
                      <a:noFill/>
                      <a:ln>
                        <a:noFill/>
                      </a:ln>
                    </wps:spPr>
                    <wps:txbx>
                      <w:txbxContent>
                        <w:p w14:paraId="09294B89" w14:textId="77777777" w:rsidR="00074180" w:rsidRPr="00074180" w:rsidRDefault="00074180" w:rsidP="00074180">
                          <w:pPr>
                            <w:rPr>
                              <w:rFonts w:eastAsia="Arial" w:cs="Arial"/>
                              <w:noProof/>
                              <w:color w:val="FF5400"/>
                              <w:szCs w:val="20"/>
                            </w:rPr>
                          </w:pPr>
                          <w:r w:rsidRPr="00074180">
                            <w:rPr>
                              <w:rFonts w:eastAsia="Arial" w:cs="Arial"/>
                              <w:noProof/>
                              <w:color w:val="FF5400"/>
                              <w:szCs w:val="20"/>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D0B6E5" id="_x0000_t202" coordsize="21600,21600" o:spt="202" path="m,l,21600r21600,l21600,xe">
              <v:stroke joinstyle="miter"/>
              <v:path gradientshapeok="t" o:connecttype="rect"/>
            </v:shapetype>
            <v:shape id="Tekstboks 3" o:spid="_x0000_s1027" type="#_x0000_t202" alt="Confidential" style="position:absolute;left:0;text-align:left;margin-left:21.65pt;margin-top:0;width:72.85pt;height:26.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" filled="f" stroked="f">
              <v:textbox style="mso-fit-shape-to-text:t" inset="0,15pt,20pt,0">
                <w:txbxContent>
                  <w:p w14:paraId="09294B89" w14:textId="77777777" w:rsidR="00074180" w:rsidRPr="00074180" w:rsidRDefault="00074180" w:rsidP="00074180">
                    <w:pPr>
                      <w:rPr>
                        <w:rFonts w:eastAsia="Arial" w:cs="Arial"/>
                        <w:noProof/>
                        <w:color w:val="FF5400"/>
                        <w:szCs w:val="20"/>
                      </w:rPr>
                    </w:pPr>
                    <w:r w:rsidRPr="00074180">
                      <w:rPr>
                        <w:rFonts w:eastAsia="Arial" w:cs="Arial"/>
                        <w:noProof/>
                        <w:color w:val="FF5400"/>
                        <w:szCs w:val="20"/>
                      </w:rPr>
                      <w:t>Confidential</w:t>
                    </w:r>
                  </w:p>
                </w:txbxContent>
              </v:textbox>
              <w10:wrap anchorx="page" anchory="page"/>
            </v:shape>
          </w:pict>
        </mc:Fallback>
      </mc:AlternateContent>
    </w:r>
    <w:r w:rsidR="006D374F" w:rsidRPr="006D374F">
      <w:rPr>
        <w:i/>
        <w:iCs/>
        <w:sz w:val="18"/>
        <w:szCs w:val="18"/>
      </w:rPr>
      <w:t xml:space="preserve">Verdipapirforetakenes Forbund/ Norwegian Securities Markets Association </w:t>
    </w:r>
    <w:r w:rsidR="00944FB8">
      <w:rPr>
        <w:i/>
        <w:iCs/>
        <w:sz w:val="18"/>
        <w:szCs w:val="18"/>
      </w:rPr>
      <w:t>23. April</w:t>
    </w:r>
    <w:r w:rsidR="006D374F" w:rsidRPr="006D374F">
      <w:rPr>
        <w:i/>
        <w:iCs/>
        <w:sz w:val="18"/>
        <w:szCs w:val="18"/>
      </w:rPr>
      <w:t>. 2026</w:t>
    </w:r>
  </w:p>
  <w:p w14:paraId="2A06ECA5" w14:textId="77777777" w:rsidR="007C4EFE" w:rsidRDefault="007C4EF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A3EF" w14:textId="77777777" w:rsidR="00074180" w:rsidRDefault="00074180">
    <w:pPr>
      <w:pStyle w:val="Topptekst"/>
    </w:pPr>
    <w:r>
      <w:rPr>
        <w:noProof/>
      </w:rPr>
      <mc:AlternateContent>
        <mc:Choice Requires="wps">
          <w:drawing>
            <wp:anchor distT="0" distB="0" distL="0" distR="0" simplePos="0" relativeHeight="251658240" behindDoc="0" locked="0" layoutInCell="1" allowOverlap="1" wp14:anchorId="04F46572" wp14:editId="2EE47D6A">
              <wp:simplePos x="635" y="635"/>
              <wp:positionH relativeFrom="page">
                <wp:align>right</wp:align>
              </wp:positionH>
              <wp:positionV relativeFrom="page">
                <wp:align>top</wp:align>
              </wp:positionV>
              <wp:extent cx="925195" cy="336550"/>
              <wp:effectExtent l="0" t="0" r="0" b="6350"/>
              <wp:wrapNone/>
              <wp:docPr id="1329718149" name="Tekstboks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25195" cy="336550"/>
                      </a:xfrm>
                      <a:prstGeom prst="rect">
                        <a:avLst/>
                      </a:prstGeom>
                      <a:noFill/>
                      <a:ln>
                        <a:noFill/>
                      </a:ln>
                    </wps:spPr>
                    <wps:txbx>
                      <w:txbxContent>
                        <w:p w14:paraId="0687C224" w14:textId="77777777" w:rsidR="00074180" w:rsidRPr="00074180" w:rsidRDefault="00074180" w:rsidP="00074180">
                          <w:pPr>
                            <w:rPr>
                              <w:rFonts w:eastAsia="Arial" w:cs="Arial"/>
                              <w:noProof/>
                              <w:color w:val="FF5400"/>
                              <w:szCs w:val="20"/>
                            </w:rPr>
                          </w:pPr>
                          <w:r w:rsidRPr="00074180">
                            <w:rPr>
                              <w:rFonts w:eastAsia="Arial" w:cs="Arial"/>
                              <w:noProof/>
                              <w:color w:val="FF5400"/>
                              <w:szCs w:val="20"/>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4F46572" id="_x0000_t202" coordsize="21600,21600" o:spt="202" path="m,l,21600r21600,l21600,xe">
              <v:stroke joinstyle="miter"/>
              <v:path gradientshapeok="t" o:connecttype="rect"/>
            </v:shapetype>
            <v:shape id="Tekstboks 1" o:spid="_x0000_s1028" type="#_x0000_t202" alt="Confidential" style="position:absolute;margin-left:21.65pt;margin-top:0;width:72.85pt;height:2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" filled="f" stroked="f">
              <v:textbox style="mso-fit-shape-to-text:t" inset="0,15pt,20pt,0">
                <w:txbxContent>
                  <w:p w14:paraId="0687C224" w14:textId="77777777" w:rsidR="00074180" w:rsidRPr="00074180" w:rsidRDefault="00074180" w:rsidP="00074180">
                    <w:pPr>
                      <w:rPr>
                        <w:rFonts w:eastAsia="Arial" w:cs="Arial"/>
                        <w:noProof/>
                        <w:color w:val="FF5400"/>
                        <w:szCs w:val="20"/>
                      </w:rPr>
                    </w:pPr>
                    <w:r w:rsidRPr="00074180">
                      <w:rPr>
                        <w:rFonts w:eastAsia="Arial" w:cs="Arial"/>
                        <w:noProof/>
                        <w:color w:val="FF540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8645C"/>
    <w:multiLevelType w:val="hybridMultilevel"/>
    <w:tmpl w:val="FADC76E6"/>
    <w:lvl w:ilvl="0" w:tplc="F37C83EE">
      <w:start w:val="1"/>
      <w:numFmt w:val="decimal"/>
      <w:pStyle w:val="Parties"/>
      <w:lvlText w:val="(%1)"/>
      <w:lvlJc w:val="left"/>
      <w:pPr>
        <w:tabs>
          <w:tab w:val="num" w:pos="567"/>
        </w:tabs>
        <w:ind w:left="567" w:hanging="567"/>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134323D"/>
    <w:multiLevelType w:val="multilevel"/>
    <w:tmpl w:val="81D0A628"/>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15:restartNumberingAfterBreak="0">
    <w:nsid w:val="116B7A43"/>
    <w:multiLevelType w:val="multilevel"/>
    <w:tmpl w:val="6B6C7756"/>
    <w:lvl w:ilvl="0">
      <w:start w:val="1"/>
      <w:numFmt w:val="decimal"/>
      <w:pStyle w:val="Table1"/>
      <w:lvlText w:val="%1"/>
      <w:lvlJc w:val="left"/>
      <w:pPr>
        <w:tabs>
          <w:tab w:val="num" w:pos="567"/>
        </w:tabs>
        <w:ind w:left="567" w:hanging="567"/>
      </w:pPr>
      <w:rPr>
        <w:rFonts w:cs="Times New Roman" w:hint="default"/>
        <w:b/>
        <w:i w:val="0"/>
        <w:sz w:val="22"/>
      </w:rPr>
    </w:lvl>
    <w:lvl w:ilvl="1">
      <w:start w:val="1"/>
      <w:numFmt w:val="decimal"/>
      <w:pStyle w:val="Table2"/>
      <w:lvlText w:val="%1.%2"/>
      <w:lvlJc w:val="left"/>
      <w:pPr>
        <w:tabs>
          <w:tab w:val="num" w:pos="567"/>
        </w:tabs>
        <w:ind w:left="567" w:hanging="567"/>
      </w:pPr>
      <w:rPr>
        <w:rFonts w:cs="Times New Roman" w:hint="default"/>
        <w:b/>
        <w:i w:val="0"/>
        <w:sz w:val="21"/>
      </w:rPr>
    </w:lvl>
    <w:lvl w:ilvl="2">
      <w:start w:val="1"/>
      <w:numFmt w:val="decimal"/>
      <w:pStyle w:val="Table3"/>
      <w:lvlText w:val="%1.%2.%3"/>
      <w:lvlJc w:val="left"/>
      <w:pPr>
        <w:tabs>
          <w:tab w:val="num" w:pos="567"/>
        </w:tabs>
        <w:ind w:left="567" w:hanging="567"/>
      </w:pPr>
      <w:rPr>
        <w:rFonts w:cs="Times New Roman" w:hint="default"/>
        <w:b/>
        <w:i w:val="0"/>
        <w:sz w:val="17"/>
      </w:rPr>
    </w:lvl>
    <w:lvl w:ilvl="3">
      <w:start w:val="1"/>
      <w:numFmt w:val="lowerRoman"/>
      <w:pStyle w:val="Table4"/>
      <w:lvlText w:val="(%4)"/>
      <w:lvlJc w:val="left"/>
      <w:pPr>
        <w:tabs>
          <w:tab w:val="num" w:pos="720"/>
        </w:tabs>
        <w:ind w:left="567" w:hanging="567"/>
      </w:pPr>
      <w:rPr>
        <w:rFonts w:cs="Times New Roman" w:hint="default"/>
      </w:rPr>
    </w:lvl>
    <w:lvl w:ilvl="4">
      <w:start w:val="1"/>
      <w:numFmt w:val="lowerLetter"/>
      <w:pStyle w:val="Table5"/>
      <w:lvlText w:val="(%5)"/>
      <w:lvlJc w:val="left"/>
      <w:pPr>
        <w:tabs>
          <w:tab w:val="num" w:pos="567"/>
        </w:tabs>
        <w:ind w:left="567" w:hanging="567"/>
      </w:pPr>
      <w:rPr>
        <w:rFonts w:cs="Times New Roman" w:hint="default"/>
      </w:rPr>
    </w:lvl>
    <w:lvl w:ilvl="5">
      <w:start w:val="1"/>
      <w:numFmt w:val="upperRoman"/>
      <w:pStyle w:val="Table6"/>
      <w:lvlText w:val="(%6)"/>
      <w:lvlJc w:val="left"/>
      <w:pPr>
        <w:tabs>
          <w:tab w:val="num" w:pos="720"/>
        </w:tabs>
        <w:ind w:left="567" w:hanging="567"/>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3" w15:restartNumberingAfterBreak="0">
    <w:nsid w:val="167B127B"/>
    <w:multiLevelType w:val="hybridMultilevel"/>
    <w:tmpl w:val="57F485D4"/>
    <w:lvl w:ilvl="0" w:tplc="97366F22">
      <w:start w:val="1"/>
      <w:numFmt w:val="bullet"/>
      <w:pStyle w:val="bullet6"/>
      <w:lvlText w:val=""/>
      <w:lvlJc w:val="left"/>
      <w:pPr>
        <w:tabs>
          <w:tab w:val="num" w:pos="3969"/>
        </w:tabs>
        <w:ind w:left="3969"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574CD"/>
    <w:multiLevelType w:val="singleLevel"/>
    <w:tmpl w:val="D4B81C6A"/>
    <w:lvl w:ilvl="0">
      <w:start w:val="1"/>
      <w:numFmt w:val="lowerLetter"/>
      <w:pStyle w:val="alpha4"/>
      <w:lvlText w:val="(%1)"/>
      <w:lvlJc w:val="left"/>
      <w:pPr>
        <w:tabs>
          <w:tab w:val="num" w:pos="2722"/>
        </w:tabs>
        <w:ind w:left="2722" w:hanging="681"/>
      </w:pPr>
      <w:rPr>
        <w:rFonts w:cs="Times New Roman" w:hint="default"/>
        <w:b w:val="0"/>
        <w:i w:val="0"/>
        <w:sz w:val="20"/>
      </w:rPr>
    </w:lvl>
  </w:abstractNum>
  <w:abstractNum w:abstractNumId="5" w15:restartNumberingAfterBreak="0">
    <w:nsid w:val="1EF42800"/>
    <w:multiLevelType w:val="hybridMultilevel"/>
    <w:tmpl w:val="9CEEF142"/>
    <w:lvl w:ilvl="0" w:tplc="03181190">
      <w:start w:val="1"/>
      <w:numFmt w:val="bullet"/>
      <w:pStyle w:val="bullet2"/>
      <w:lvlText w:val=""/>
      <w:lvlJc w:val="left"/>
      <w:pPr>
        <w:tabs>
          <w:tab w:val="num" w:pos="1247"/>
        </w:tabs>
        <w:ind w:left="1247" w:hanging="6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634754"/>
    <w:multiLevelType w:val="singleLevel"/>
    <w:tmpl w:val="E9A89436"/>
    <w:lvl w:ilvl="0">
      <w:start w:val="1"/>
      <w:numFmt w:val="bullet"/>
      <w:pStyle w:val="Bullet1"/>
      <w:lvlText w:val=""/>
      <w:lvlJc w:val="left"/>
      <w:pPr>
        <w:tabs>
          <w:tab w:val="num" w:pos="567"/>
        </w:tabs>
        <w:ind w:left="567" w:hanging="567"/>
      </w:pPr>
      <w:rPr>
        <w:rFonts w:ascii="Symbol" w:hAnsi="Symbol" w:hint="default"/>
      </w:rPr>
    </w:lvl>
  </w:abstractNum>
  <w:abstractNum w:abstractNumId="7" w15:restartNumberingAfterBreak="0">
    <w:nsid w:val="25E6172F"/>
    <w:multiLevelType w:val="singleLevel"/>
    <w:tmpl w:val="44B8B92E"/>
    <w:lvl w:ilvl="0">
      <w:start w:val="1"/>
      <w:numFmt w:val="lowerLetter"/>
      <w:pStyle w:val="Tablealpha"/>
      <w:lvlText w:val="(%1)"/>
      <w:lvlJc w:val="left"/>
      <w:pPr>
        <w:tabs>
          <w:tab w:val="num" w:pos="567"/>
        </w:tabs>
        <w:ind w:left="567" w:hanging="567"/>
      </w:pPr>
      <w:rPr>
        <w:rFonts w:cs="Times New Roman" w:hint="default"/>
        <w:b w:val="0"/>
        <w:i w:val="0"/>
        <w:sz w:val="20"/>
      </w:rPr>
    </w:lvl>
  </w:abstractNum>
  <w:abstractNum w:abstractNumId="8" w15:restartNumberingAfterBreak="0">
    <w:nsid w:val="34705D16"/>
    <w:multiLevelType w:val="singleLevel"/>
    <w:tmpl w:val="DA86ED00"/>
    <w:lvl w:ilvl="0">
      <w:start w:val="1"/>
      <w:numFmt w:val="lowerLetter"/>
      <w:pStyle w:val="alpha3"/>
      <w:lvlText w:val="(%1)"/>
      <w:lvlJc w:val="left"/>
      <w:pPr>
        <w:tabs>
          <w:tab w:val="num" w:pos="2041"/>
        </w:tabs>
        <w:ind w:left="2041" w:hanging="794"/>
      </w:pPr>
      <w:rPr>
        <w:rFonts w:cs="Times New Roman" w:hint="default"/>
        <w:b w:val="0"/>
        <w:i w:val="0"/>
        <w:sz w:val="20"/>
      </w:rPr>
    </w:lvl>
  </w:abstractNum>
  <w:abstractNum w:abstractNumId="9" w15:restartNumberingAfterBreak="0">
    <w:nsid w:val="37E21890"/>
    <w:multiLevelType w:val="multilevel"/>
    <w:tmpl w:val="F6E2D910"/>
    <w:lvl w:ilvl="0">
      <w:start w:val="1"/>
      <w:numFmt w:val="decimal"/>
      <w:pStyle w:val="TCLevel1"/>
      <w:lvlText w:val="%1"/>
      <w:lvlJc w:val="left"/>
      <w:pPr>
        <w:tabs>
          <w:tab w:val="num" w:pos="567"/>
        </w:tabs>
        <w:ind w:left="567" w:hanging="567"/>
      </w:pPr>
      <w:rPr>
        <w:rFonts w:cs="Times New Roman" w:hint="default"/>
        <w:b/>
        <w:i w:val="0"/>
      </w:rPr>
    </w:lvl>
    <w:lvl w:ilvl="1">
      <w:start w:val="1"/>
      <w:numFmt w:val="lowerLetter"/>
      <w:pStyle w:val="TCLevel2"/>
      <w:lvlText w:val="(%2)"/>
      <w:lvlJc w:val="left"/>
      <w:pPr>
        <w:tabs>
          <w:tab w:val="num" w:pos="1247"/>
        </w:tabs>
        <w:ind w:left="1247" w:hanging="680"/>
      </w:pPr>
      <w:rPr>
        <w:rFonts w:cs="Times New Roman" w:hint="default"/>
        <w:b/>
        <w:i w:val="0"/>
      </w:rPr>
    </w:lvl>
    <w:lvl w:ilvl="2">
      <w:start w:val="1"/>
      <w:numFmt w:val="lowerRoman"/>
      <w:pStyle w:val="TCLevel3"/>
      <w:lvlText w:val="(%3)"/>
      <w:lvlJc w:val="left"/>
      <w:pPr>
        <w:tabs>
          <w:tab w:val="num" w:pos="2041"/>
        </w:tabs>
        <w:ind w:left="2041" w:hanging="794"/>
      </w:pPr>
      <w:rPr>
        <w:rFonts w:cs="Times New Roman" w:hint="default"/>
      </w:rPr>
    </w:lvl>
    <w:lvl w:ilvl="3">
      <w:start w:val="1"/>
      <w:numFmt w:val="upperLetter"/>
      <w:pStyle w:val="TCLevel4"/>
      <w:lvlText w:val="(%4)"/>
      <w:lvlJc w:val="left"/>
      <w:pPr>
        <w:tabs>
          <w:tab w:val="num" w:pos="2722"/>
        </w:tabs>
        <w:ind w:left="2722" w:hanging="681"/>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0" w15:restartNumberingAfterBreak="0">
    <w:nsid w:val="386006ED"/>
    <w:multiLevelType w:val="singleLevel"/>
    <w:tmpl w:val="AF747146"/>
    <w:lvl w:ilvl="0">
      <w:start w:val="1"/>
      <w:numFmt w:val="lowerLetter"/>
      <w:pStyle w:val="alpha6"/>
      <w:lvlText w:val="(%1)"/>
      <w:lvlJc w:val="left"/>
      <w:pPr>
        <w:tabs>
          <w:tab w:val="num" w:pos="3969"/>
        </w:tabs>
        <w:ind w:left="3969" w:hanging="680"/>
      </w:pPr>
      <w:rPr>
        <w:rFonts w:cs="Times New Roman" w:hint="default"/>
        <w:b w:val="0"/>
        <w:i w:val="0"/>
        <w:sz w:val="20"/>
      </w:rPr>
    </w:lvl>
  </w:abstractNum>
  <w:abstractNum w:abstractNumId="11" w15:restartNumberingAfterBreak="0">
    <w:nsid w:val="4DAE3FBA"/>
    <w:multiLevelType w:val="hybridMultilevel"/>
    <w:tmpl w:val="0FBE412C"/>
    <w:lvl w:ilvl="0" w:tplc="78EC611A">
      <w:start w:val="1"/>
      <w:numFmt w:val="bullet"/>
      <w:pStyle w:val="bullet3"/>
      <w:lvlText w:val=""/>
      <w:lvlJc w:val="left"/>
      <w:pPr>
        <w:tabs>
          <w:tab w:val="num" w:pos="2041"/>
        </w:tabs>
        <w:ind w:left="2041"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6D7BFA"/>
    <w:multiLevelType w:val="singleLevel"/>
    <w:tmpl w:val="74C055FA"/>
    <w:lvl w:ilvl="0">
      <w:start w:val="1"/>
      <w:numFmt w:val="lowerLetter"/>
      <w:pStyle w:val="alpha5"/>
      <w:lvlText w:val="(%1)"/>
      <w:lvlJc w:val="left"/>
      <w:pPr>
        <w:tabs>
          <w:tab w:val="num" w:pos="3289"/>
        </w:tabs>
        <w:ind w:left="3289" w:hanging="567"/>
      </w:pPr>
      <w:rPr>
        <w:rFonts w:cs="Times New Roman" w:hint="default"/>
        <w:b w:val="0"/>
        <w:i w:val="0"/>
        <w:sz w:val="20"/>
      </w:rPr>
    </w:lvl>
  </w:abstractNum>
  <w:abstractNum w:abstractNumId="13" w15:restartNumberingAfterBreak="0">
    <w:nsid w:val="4FCB61CB"/>
    <w:multiLevelType w:val="hybridMultilevel"/>
    <w:tmpl w:val="0FC090D2"/>
    <w:lvl w:ilvl="0" w:tplc="27EA9D70">
      <w:start w:val="1"/>
      <w:numFmt w:val="bullet"/>
      <w:pStyle w:val="bullet5"/>
      <w:lvlText w:val=""/>
      <w:lvlJc w:val="left"/>
      <w:pPr>
        <w:tabs>
          <w:tab w:val="num" w:pos="3289"/>
        </w:tabs>
        <w:ind w:left="3289"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2A7C3C"/>
    <w:multiLevelType w:val="singleLevel"/>
    <w:tmpl w:val="8AFEB86A"/>
    <w:lvl w:ilvl="0">
      <w:start w:val="1"/>
      <w:numFmt w:val="lowerLetter"/>
      <w:pStyle w:val="alpha1"/>
      <w:lvlText w:val="(%1)"/>
      <w:lvlJc w:val="left"/>
      <w:pPr>
        <w:tabs>
          <w:tab w:val="num" w:pos="567"/>
        </w:tabs>
        <w:ind w:left="567" w:hanging="567"/>
      </w:pPr>
      <w:rPr>
        <w:rFonts w:cs="Times New Roman" w:hint="default"/>
        <w:b w:val="0"/>
        <w:i w:val="0"/>
        <w:sz w:val="20"/>
      </w:rPr>
    </w:lvl>
  </w:abstractNum>
  <w:abstractNum w:abstractNumId="15" w15:restartNumberingAfterBreak="0">
    <w:nsid w:val="55A9058A"/>
    <w:multiLevelType w:val="hybridMultilevel"/>
    <w:tmpl w:val="AEA6982A"/>
    <w:lvl w:ilvl="0" w:tplc="655E52DA">
      <w:start w:val="1"/>
      <w:numFmt w:val="bullet"/>
      <w:pStyle w:val="bullet4"/>
      <w:lvlText w:val=""/>
      <w:lvlJc w:val="left"/>
      <w:pPr>
        <w:tabs>
          <w:tab w:val="num" w:pos="2722"/>
        </w:tabs>
        <w:ind w:left="2722" w:hanging="68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E26FEF"/>
    <w:multiLevelType w:val="singleLevel"/>
    <w:tmpl w:val="C7EC5F6E"/>
    <w:lvl w:ilvl="0">
      <w:start w:val="1"/>
      <w:numFmt w:val="lowerRoman"/>
      <w:pStyle w:val="roman4"/>
      <w:lvlText w:val="(%1)"/>
      <w:lvlJc w:val="left"/>
      <w:pPr>
        <w:tabs>
          <w:tab w:val="num" w:pos="2722"/>
        </w:tabs>
        <w:ind w:left="2722" w:hanging="681"/>
      </w:pPr>
      <w:rPr>
        <w:rFonts w:cs="Times New Roman" w:hint="default"/>
        <w:b w:val="0"/>
        <w:i w:val="0"/>
        <w:sz w:val="20"/>
      </w:rPr>
    </w:lvl>
  </w:abstractNum>
  <w:abstractNum w:abstractNumId="17" w15:restartNumberingAfterBreak="0">
    <w:nsid w:val="5AF711EC"/>
    <w:multiLevelType w:val="singleLevel"/>
    <w:tmpl w:val="77928E8A"/>
    <w:lvl w:ilvl="0">
      <w:start w:val="1"/>
      <w:numFmt w:val="lowerRoman"/>
      <w:pStyle w:val="roman1"/>
      <w:lvlText w:val="(%1)"/>
      <w:lvlJc w:val="left"/>
      <w:pPr>
        <w:tabs>
          <w:tab w:val="num" w:pos="720"/>
        </w:tabs>
        <w:ind w:left="567" w:hanging="567"/>
      </w:pPr>
      <w:rPr>
        <w:rFonts w:cs="Times New Roman" w:hint="default"/>
        <w:b w:val="0"/>
        <w:i w:val="0"/>
        <w:sz w:val="20"/>
      </w:rPr>
    </w:lvl>
  </w:abstractNum>
  <w:abstractNum w:abstractNumId="18" w15:restartNumberingAfterBreak="0">
    <w:nsid w:val="5EE24751"/>
    <w:multiLevelType w:val="hybridMultilevel"/>
    <w:tmpl w:val="E1B68B68"/>
    <w:lvl w:ilvl="0" w:tplc="281AF6C2">
      <w:start w:val="1"/>
      <w:numFmt w:val="bullet"/>
      <w:pStyle w:val="Table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CB4379"/>
    <w:multiLevelType w:val="hybridMultilevel"/>
    <w:tmpl w:val="B86C9296"/>
    <w:lvl w:ilvl="0" w:tplc="90B859F6">
      <w:start w:val="1"/>
      <w:numFmt w:val="upperLetter"/>
      <w:pStyle w:val="Recitals"/>
      <w:lvlText w:val="(%1)"/>
      <w:lvlJc w:val="left"/>
      <w:pPr>
        <w:tabs>
          <w:tab w:val="num" w:pos="567"/>
        </w:tabs>
        <w:ind w:left="567" w:hanging="567"/>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2215270"/>
    <w:multiLevelType w:val="singleLevel"/>
    <w:tmpl w:val="B5DAEB86"/>
    <w:lvl w:ilvl="0">
      <w:start w:val="1"/>
      <w:numFmt w:val="lowerRoman"/>
      <w:pStyle w:val="roman3"/>
      <w:lvlText w:val="(%1)"/>
      <w:lvlJc w:val="left"/>
      <w:pPr>
        <w:tabs>
          <w:tab w:val="num" w:pos="2041"/>
        </w:tabs>
        <w:ind w:left="2041" w:hanging="794"/>
      </w:pPr>
      <w:rPr>
        <w:rFonts w:cs="Times New Roman" w:hint="default"/>
        <w:b w:val="0"/>
        <w:i w:val="0"/>
        <w:sz w:val="20"/>
      </w:rPr>
    </w:lvl>
  </w:abstractNum>
  <w:abstractNum w:abstractNumId="21" w15:restartNumberingAfterBreak="0">
    <w:nsid w:val="64C47EA1"/>
    <w:multiLevelType w:val="singleLevel"/>
    <w:tmpl w:val="4C28F6C2"/>
    <w:lvl w:ilvl="0">
      <w:start w:val="1"/>
      <w:numFmt w:val="lowerRoman"/>
      <w:pStyle w:val="Tableroman"/>
      <w:lvlText w:val="(%1)"/>
      <w:lvlJc w:val="left"/>
      <w:pPr>
        <w:tabs>
          <w:tab w:val="num" w:pos="720"/>
        </w:tabs>
        <w:ind w:left="567" w:hanging="567"/>
      </w:pPr>
      <w:rPr>
        <w:rFonts w:cs="Times New Roman" w:hint="default"/>
        <w:b w:val="0"/>
        <w:i w:val="0"/>
        <w:sz w:val="20"/>
      </w:rPr>
    </w:lvl>
  </w:abstractNum>
  <w:abstractNum w:abstractNumId="22" w15:restartNumberingAfterBreak="0">
    <w:nsid w:val="6B1D1232"/>
    <w:multiLevelType w:val="multilevel"/>
    <w:tmpl w:val="B8DA1486"/>
    <w:lvl w:ilvl="0">
      <w:start w:val="1"/>
      <w:numFmt w:val="decimal"/>
      <w:pStyle w:val="Level1"/>
      <w:lvlText w:val="%1"/>
      <w:lvlJc w:val="left"/>
      <w:pPr>
        <w:tabs>
          <w:tab w:val="num" w:pos="567"/>
        </w:tabs>
        <w:ind w:left="567" w:hanging="567"/>
      </w:pPr>
      <w:rPr>
        <w:rFonts w:cs="Times New Roman" w:hint="default"/>
        <w:b/>
        <w:i w:val="0"/>
        <w:sz w:val="22"/>
      </w:rPr>
    </w:lvl>
    <w:lvl w:ilvl="1">
      <w:start w:val="1"/>
      <w:numFmt w:val="decimal"/>
      <w:pStyle w:val="Level2"/>
      <w:lvlText w:val="%1.%2"/>
      <w:lvlJc w:val="left"/>
      <w:pPr>
        <w:tabs>
          <w:tab w:val="num" w:pos="2806"/>
        </w:tabs>
        <w:ind w:left="2778" w:hanging="652"/>
      </w:pPr>
      <w:rPr>
        <w:rFonts w:cs="Times New Roman" w:hint="default"/>
        <w:b/>
        <w:i w:val="0"/>
        <w:sz w:val="21"/>
      </w:rPr>
    </w:lvl>
    <w:lvl w:ilvl="2">
      <w:start w:val="1"/>
      <w:numFmt w:val="decimal"/>
      <w:pStyle w:val="Level3"/>
      <w:lvlText w:val="%1.%2.%3"/>
      <w:lvlJc w:val="left"/>
      <w:pPr>
        <w:tabs>
          <w:tab w:val="num" w:pos="2041"/>
        </w:tabs>
        <w:ind w:left="2041" w:hanging="794"/>
      </w:pPr>
      <w:rPr>
        <w:rFonts w:cs="Times New Roman" w:hint="default"/>
        <w:b/>
        <w:i w:val="0"/>
        <w:sz w:val="17"/>
      </w:rPr>
    </w:lvl>
    <w:lvl w:ilvl="3">
      <w:start w:val="1"/>
      <w:numFmt w:val="lowerRoman"/>
      <w:pStyle w:val="Level4"/>
      <w:lvlText w:val="(%4)"/>
      <w:lvlJc w:val="left"/>
      <w:pPr>
        <w:tabs>
          <w:tab w:val="num" w:pos="2722"/>
        </w:tabs>
        <w:ind w:left="2722" w:hanging="681"/>
      </w:pPr>
      <w:rPr>
        <w:rFonts w:cs="Times New Roman" w:hint="default"/>
      </w:rPr>
    </w:lvl>
    <w:lvl w:ilvl="4">
      <w:start w:val="1"/>
      <w:numFmt w:val="lowerLetter"/>
      <w:pStyle w:val="Level5"/>
      <w:lvlText w:val="(%5)"/>
      <w:lvlJc w:val="left"/>
      <w:pPr>
        <w:tabs>
          <w:tab w:val="num" w:pos="3289"/>
        </w:tabs>
        <w:ind w:left="3289" w:hanging="567"/>
      </w:pPr>
      <w:rPr>
        <w:rFonts w:cs="Times New Roman" w:hint="default"/>
      </w:rPr>
    </w:lvl>
    <w:lvl w:ilvl="5">
      <w:start w:val="1"/>
      <w:numFmt w:val="upperRoman"/>
      <w:pStyle w:val="Level6"/>
      <w:lvlText w:val="(%6)"/>
      <w:lvlJc w:val="left"/>
      <w:pPr>
        <w:tabs>
          <w:tab w:val="num" w:pos="3969"/>
        </w:tabs>
        <w:ind w:left="3969" w:hanging="680"/>
      </w:pPr>
      <w:rPr>
        <w:rFonts w:cs="Times New Roman" w:hint="default"/>
      </w:rPr>
    </w:lvl>
    <w:lvl w:ilvl="6">
      <w:start w:val="1"/>
      <w:numFmt w:val="none"/>
      <w:pStyle w:val="Level7"/>
      <w:lvlText w:val=""/>
      <w:lvlJc w:val="left"/>
      <w:pPr>
        <w:tabs>
          <w:tab w:val="num" w:pos="3969"/>
        </w:tabs>
        <w:ind w:left="3969" w:hanging="680"/>
      </w:pPr>
      <w:rPr>
        <w:rFonts w:cs="Times New Roman" w:hint="default"/>
      </w:rPr>
    </w:lvl>
    <w:lvl w:ilvl="7">
      <w:start w:val="1"/>
      <w:numFmt w:val="none"/>
      <w:pStyle w:val="Level8"/>
      <w:lvlText w:val=""/>
      <w:lvlJc w:val="left"/>
      <w:pPr>
        <w:tabs>
          <w:tab w:val="num" w:pos="3969"/>
        </w:tabs>
        <w:ind w:left="3969" w:hanging="680"/>
      </w:pPr>
      <w:rPr>
        <w:rFonts w:cs="Times New Roman" w:hint="default"/>
      </w:rPr>
    </w:lvl>
    <w:lvl w:ilvl="8">
      <w:start w:val="1"/>
      <w:numFmt w:val="none"/>
      <w:pStyle w:val="Level9"/>
      <w:lvlText w:val=""/>
      <w:lvlJc w:val="left"/>
      <w:pPr>
        <w:tabs>
          <w:tab w:val="num" w:pos="3969"/>
        </w:tabs>
        <w:ind w:left="3969" w:hanging="680"/>
      </w:pPr>
      <w:rPr>
        <w:rFonts w:cs="Times New Roman" w:hint="default"/>
      </w:rPr>
    </w:lvl>
  </w:abstractNum>
  <w:abstractNum w:abstractNumId="23" w15:restartNumberingAfterBreak="0">
    <w:nsid w:val="6C5255B9"/>
    <w:multiLevelType w:val="singleLevel"/>
    <w:tmpl w:val="54828436"/>
    <w:lvl w:ilvl="0">
      <w:start w:val="1"/>
      <w:numFmt w:val="lowerRoman"/>
      <w:pStyle w:val="roman6"/>
      <w:lvlText w:val="(%1)"/>
      <w:lvlJc w:val="left"/>
      <w:pPr>
        <w:tabs>
          <w:tab w:val="num" w:pos="3969"/>
        </w:tabs>
        <w:ind w:left="3969" w:hanging="680"/>
      </w:pPr>
      <w:rPr>
        <w:rFonts w:cs="Times New Roman" w:hint="default"/>
        <w:b w:val="0"/>
        <w:i w:val="0"/>
        <w:sz w:val="20"/>
      </w:rPr>
    </w:lvl>
  </w:abstractNum>
  <w:abstractNum w:abstractNumId="24" w15:restartNumberingAfterBreak="0">
    <w:nsid w:val="71157F9C"/>
    <w:multiLevelType w:val="multilevel"/>
    <w:tmpl w:val="F7B69982"/>
    <w:lvl w:ilvl="0">
      <w:start w:val="1"/>
      <w:numFmt w:val="decimal"/>
      <w:lvlText w:val="%1"/>
      <w:lvlJc w:val="left"/>
      <w:pPr>
        <w:tabs>
          <w:tab w:val="num" w:pos="567"/>
        </w:tabs>
        <w:ind w:left="567" w:hanging="567"/>
      </w:pPr>
      <w:rPr>
        <w:rFonts w:ascii="Arial" w:hAnsi="Arial" w:cs="Times New Roman" w:hint="default"/>
        <w:b/>
        <w:i w:val="0"/>
        <w:sz w:val="21"/>
      </w:rPr>
    </w:lvl>
    <w:lvl w:ilvl="1">
      <w:start w:val="1"/>
      <w:numFmt w:val="decimal"/>
      <w:lvlText w:val="%1.%2"/>
      <w:lvlJc w:val="left"/>
      <w:pPr>
        <w:tabs>
          <w:tab w:val="num" w:pos="1247"/>
        </w:tabs>
        <w:ind w:left="1247" w:hanging="680"/>
      </w:pPr>
      <w:rPr>
        <w:rFonts w:ascii="Arial" w:hAnsi="Arial" w:cs="Times New Roman" w:hint="default"/>
        <w:b/>
        <w:i w:val="0"/>
        <w:sz w:val="20"/>
      </w:rPr>
    </w:lvl>
    <w:lvl w:ilvl="2">
      <w:start w:val="1"/>
      <w:numFmt w:val="decimal"/>
      <w:lvlText w:val="%1.%2.%3"/>
      <w:lvlJc w:val="left"/>
      <w:pPr>
        <w:tabs>
          <w:tab w:val="num" w:pos="2041"/>
        </w:tabs>
        <w:ind w:left="2041" w:hanging="794"/>
      </w:pPr>
      <w:rPr>
        <w:rFonts w:ascii="Arial" w:hAnsi="Arial" w:cs="Times New Roman" w:hint="default"/>
        <w:b/>
        <w:i w:val="0"/>
        <w:sz w:val="17"/>
      </w:rPr>
    </w:lvl>
    <w:lvl w:ilvl="3">
      <w:start w:val="1"/>
      <w:numFmt w:val="lowerRoman"/>
      <w:lvlText w:val="(%4)"/>
      <w:lvlJc w:val="left"/>
      <w:pPr>
        <w:tabs>
          <w:tab w:val="num" w:pos="2722"/>
        </w:tabs>
        <w:ind w:left="2722" w:hanging="681"/>
      </w:pPr>
      <w:rPr>
        <w:rFonts w:ascii="Arial" w:hAnsi="Arial" w:cs="Times New Roman" w:hint="default"/>
        <w:b w:val="0"/>
        <w:i w:val="0"/>
        <w:sz w:val="20"/>
      </w:rPr>
    </w:lvl>
    <w:lvl w:ilvl="4">
      <w:start w:val="1"/>
      <w:numFmt w:val="lowerLetter"/>
      <w:lvlText w:val="(%5)"/>
      <w:lvlJc w:val="left"/>
      <w:pPr>
        <w:tabs>
          <w:tab w:val="num" w:pos="3289"/>
        </w:tabs>
        <w:ind w:left="3289" w:hanging="567"/>
      </w:pPr>
      <w:rPr>
        <w:rFonts w:ascii="Arial" w:hAnsi="Arial" w:cs="Times New Roman" w:hint="default"/>
        <w:b w:val="0"/>
        <w:i w:val="0"/>
        <w:sz w:val="20"/>
      </w:rPr>
    </w:lvl>
    <w:lvl w:ilvl="5">
      <w:start w:val="1"/>
      <w:numFmt w:val="upperRoman"/>
      <w:lvlText w:val="(%6)"/>
      <w:lvlJc w:val="left"/>
      <w:pPr>
        <w:tabs>
          <w:tab w:val="num" w:pos="3969"/>
        </w:tabs>
        <w:ind w:left="3969" w:hanging="680"/>
      </w:pPr>
      <w:rPr>
        <w:rFonts w:ascii="Arial" w:hAnsi="Arial" w:cs="Times New Roman" w:hint="default"/>
        <w:b w:val="0"/>
        <w:i w:val="0"/>
        <w:sz w:val="20"/>
      </w:rPr>
    </w:lvl>
    <w:lvl w:ilvl="6">
      <w:start w:val="1"/>
      <w:numFmt w:val="none"/>
      <w:lvlText w:val=""/>
      <w:lvlJc w:val="left"/>
      <w:pPr>
        <w:tabs>
          <w:tab w:val="num" w:pos="3240"/>
        </w:tabs>
        <w:ind w:left="3240" w:hanging="1080"/>
      </w:pPr>
      <w:rPr>
        <w:rFonts w:cs="Times New Roman"/>
      </w:rPr>
    </w:lvl>
    <w:lvl w:ilvl="7">
      <w:start w:val="1"/>
      <w:numFmt w:val="none"/>
      <w:lvlText w:val=""/>
      <w:lvlJc w:val="left"/>
      <w:pPr>
        <w:tabs>
          <w:tab w:val="num" w:pos="3744"/>
        </w:tabs>
        <w:ind w:left="3744" w:hanging="1224"/>
      </w:pPr>
      <w:rPr>
        <w:rFonts w:cs="Times New Roman"/>
      </w:rPr>
    </w:lvl>
    <w:lvl w:ilvl="8">
      <w:start w:val="1"/>
      <w:numFmt w:val="none"/>
      <w:lvlText w:val=""/>
      <w:lvlJc w:val="left"/>
      <w:pPr>
        <w:tabs>
          <w:tab w:val="num" w:pos="4320"/>
        </w:tabs>
        <w:ind w:left="4320" w:hanging="1440"/>
      </w:pPr>
      <w:rPr>
        <w:rFonts w:cs="Times New Roman"/>
      </w:rPr>
    </w:lvl>
  </w:abstractNum>
  <w:abstractNum w:abstractNumId="25" w15:restartNumberingAfterBreak="0">
    <w:nsid w:val="7169173D"/>
    <w:multiLevelType w:val="singleLevel"/>
    <w:tmpl w:val="46023D24"/>
    <w:lvl w:ilvl="0">
      <w:start w:val="1"/>
      <w:numFmt w:val="lowerLetter"/>
      <w:pStyle w:val="alpha2"/>
      <w:lvlText w:val="(%1)"/>
      <w:lvlJc w:val="left"/>
      <w:pPr>
        <w:tabs>
          <w:tab w:val="num" w:pos="1247"/>
        </w:tabs>
        <w:ind w:left="1247" w:hanging="680"/>
      </w:pPr>
      <w:rPr>
        <w:rFonts w:cs="Times New Roman" w:hint="default"/>
        <w:b w:val="0"/>
        <w:i w:val="0"/>
        <w:sz w:val="20"/>
      </w:rPr>
    </w:lvl>
  </w:abstractNum>
  <w:abstractNum w:abstractNumId="26" w15:restartNumberingAfterBreak="0">
    <w:nsid w:val="73455C00"/>
    <w:multiLevelType w:val="singleLevel"/>
    <w:tmpl w:val="09042422"/>
    <w:lvl w:ilvl="0">
      <w:start w:val="1"/>
      <w:numFmt w:val="lowerRoman"/>
      <w:pStyle w:val="roman5"/>
      <w:lvlText w:val="(%1)"/>
      <w:lvlJc w:val="left"/>
      <w:pPr>
        <w:tabs>
          <w:tab w:val="num" w:pos="3442"/>
        </w:tabs>
        <w:ind w:left="3289" w:hanging="567"/>
      </w:pPr>
      <w:rPr>
        <w:rFonts w:cs="Times New Roman" w:hint="default"/>
        <w:b w:val="0"/>
        <w:i w:val="0"/>
        <w:sz w:val="20"/>
      </w:rPr>
    </w:lvl>
  </w:abstractNum>
  <w:abstractNum w:abstractNumId="27" w15:restartNumberingAfterBreak="0">
    <w:nsid w:val="78257A82"/>
    <w:multiLevelType w:val="hybridMultilevel"/>
    <w:tmpl w:val="DC40FBC0"/>
    <w:lvl w:ilvl="0" w:tplc="504838BC">
      <w:start w:val="1"/>
      <w:numFmt w:val="bullet"/>
      <w:pStyle w:val="bullet10"/>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5A5B88"/>
    <w:multiLevelType w:val="singleLevel"/>
    <w:tmpl w:val="EB8633FA"/>
    <w:lvl w:ilvl="0">
      <w:start w:val="1"/>
      <w:numFmt w:val="lowerRoman"/>
      <w:pStyle w:val="roman2"/>
      <w:lvlText w:val="(%1)"/>
      <w:lvlJc w:val="left"/>
      <w:pPr>
        <w:tabs>
          <w:tab w:val="num" w:pos="1247"/>
        </w:tabs>
        <w:ind w:left="1247" w:hanging="680"/>
      </w:pPr>
      <w:rPr>
        <w:rFonts w:cs="Times New Roman" w:hint="default"/>
        <w:b w:val="0"/>
        <w:i w:val="0"/>
        <w:sz w:val="20"/>
      </w:rPr>
    </w:lvl>
  </w:abstractNum>
  <w:num w:numId="1" w16cid:durableId="455637694">
    <w:abstractNumId w:val="27"/>
  </w:num>
  <w:num w:numId="2" w16cid:durableId="236745452">
    <w:abstractNumId w:val="5"/>
  </w:num>
  <w:num w:numId="3" w16cid:durableId="510875107">
    <w:abstractNumId w:val="11"/>
  </w:num>
  <w:num w:numId="4" w16cid:durableId="496774339">
    <w:abstractNumId w:val="15"/>
  </w:num>
  <w:num w:numId="5" w16cid:durableId="2127506250">
    <w:abstractNumId w:val="13"/>
  </w:num>
  <w:num w:numId="6" w16cid:durableId="1970430108">
    <w:abstractNumId w:val="3"/>
  </w:num>
  <w:num w:numId="7" w16cid:durableId="1095322321">
    <w:abstractNumId w:val="0"/>
  </w:num>
  <w:num w:numId="8" w16cid:durableId="25297699">
    <w:abstractNumId w:val="19"/>
  </w:num>
  <w:num w:numId="9" w16cid:durableId="17171267">
    <w:abstractNumId w:val="1"/>
  </w:num>
  <w:num w:numId="10" w16cid:durableId="1109197167">
    <w:abstractNumId w:val="9"/>
  </w:num>
  <w:num w:numId="11" w16cid:durableId="692682250">
    <w:abstractNumId w:val="9"/>
  </w:num>
  <w:num w:numId="12" w16cid:durableId="605768170">
    <w:abstractNumId w:val="9"/>
  </w:num>
  <w:num w:numId="13" w16cid:durableId="1591423469">
    <w:abstractNumId w:val="9"/>
  </w:num>
  <w:num w:numId="14" w16cid:durableId="2142455777">
    <w:abstractNumId w:val="2"/>
  </w:num>
  <w:num w:numId="15" w16cid:durableId="1249927127">
    <w:abstractNumId w:val="2"/>
  </w:num>
  <w:num w:numId="16" w16cid:durableId="1939630252">
    <w:abstractNumId w:val="2"/>
  </w:num>
  <w:num w:numId="17" w16cid:durableId="1276517266">
    <w:abstractNumId w:val="2"/>
  </w:num>
  <w:num w:numId="18" w16cid:durableId="1633515082">
    <w:abstractNumId w:val="2"/>
  </w:num>
  <w:num w:numId="19" w16cid:durableId="1005787541">
    <w:abstractNumId w:val="2"/>
  </w:num>
  <w:num w:numId="20" w16cid:durableId="341589566">
    <w:abstractNumId w:val="18"/>
  </w:num>
  <w:num w:numId="21" w16cid:durableId="98647788">
    <w:abstractNumId w:val="17"/>
  </w:num>
  <w:num w:numId="22" w16cid:durableId="889927696">
    <w:abstractNumId w:val="28"/>
  </w:num>
  <w:num w:numId="23" w16cid:durableId="1962371709">
    <w:abstractNumId w:val="20"/>
  </w:num>
  <w:num w:numId="24" w16cid:durableId="231820080">
    <w:abstractNumId w:val="16"/>
  </w:num>
  <w:num w:numId="25" w16cid:durableId="1202204137">
    <w:abstractNumId w:val="26"/>
  </w:num>
  <w:num w:numId="26" w16cid:durableId="2006936624">
    <w:abstractNumId w:val="23"/>
  </w:num>
  <w:num w:numId="27" w16cid:durableId="1140149634">
    <w:abstractNumId w:val="7"/>
  </w:num>
  <w:num w:numId="28" w16cid:durableId="1170364507">
    <w:abstractNumId w:val="21"/>
  </w:num>
  <w:num w:numId="29" w16cid:durableId="1627933253">
    <w:abstractNumId w:val="14"/>
  </w:num>
  <w:num w:numId="30" w16cid:durableId="166555165">
    <w:abstractNumId w:val="25"/>
  </w:num>
  <w:num w:numId="31" w16cid:durableId="398788099">
    <w:abstractNumId w:val="8"/>
  </w:num>
  <w:num w:numId="32" w16cid:durableId="1058865406">
    <w:abstractNumId w:val="4"/>
  </w:num>
  <w:num w:numId="33" w16cid:durableId="950475425">
    <w:abstractNumId w:val="12"/>
  </w:num>
  <w:num w:numId="34" w16cid:durableId="1350335616">
    <w:abstractNumId w:val="10"/>
  </w:num>
  <w:num w:numId="35" w16cid:durableId="3439446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9347190">
    <w:abstractNumId w:val="6"/>
  </w:num>
  <w:num w:numId="37" w16cid:durableId="1974168240">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81"/>
  <w:drawingGridVerticalSpacing w:val="181"/>
  <w:doNotUseMarginsForDrawingGridOrigin/>
  <w:drawingGridHorizontalOrigin w:val="1588"/>
  <w:drawingGridVerticalOrigin w:val="170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B7"/>
    <w:rsid w:val="0000360C"/>
    <w:rsid w:val="000044C5"/>
    <w:rsid w:val="000049DF"/>
    <w:rsid w:val="00006E2C"/>
    <w:rsid w:val="000074E4"/>
    <w:rsid w:val="00012F41"/>
    <w:rsid w:val="0001354D"/>
    <w:rsid w:val="0001393F"/>
    <w:rsid w:val="00013955"/>
    <w:rsid w:val="00013CAD"/>
    <w:rsid w:val="00013F58"/>
    <w:rsid w:val="0002071B"/>
    <w:rsid w:val="00021DE4"/>
    <w:rsid w:val="00022B58"/>
    <w:rsid w:val="000267CB"/>
    <w:rsid w:val="000310BB"/>
    <w:rsid w:val="00033CA6"/>
    <w:rsid w:val="00033E95"/>
    <w:rsid w:val="00034A29"/>
    <w:rsid w:val="00036A70"/>
    <w:rsid w:val="0003709D"/>
    <w:rsid w:val="0003775C"/>
    <w:rsid w:val="00046815"/>
    <w:rsid w:val="00047B82"/>
    <w:rsid w:val="00051946"/>
    <w:rsid w:val="0005262A"/>
    <w:rsid w:val="0005422C"/>
    <w:rsid w:val="000551CF"/>
    <w:rsid w:val="000613E2"/>
    <w:rsid w:val="00063185"/>
    <w:rsid w:val="00063E22"/>
    <w:rsid w:val="00064340"/>
    <w:rsid w:val="00064B5A"/>
    <w:rsid w:val="000705A8"/>
    <w:rsid w:val="00071E96"/>
    <w:rsid w:val="00073754"/>
    <w:rsid w:val="00074180"/>
    <w:rsid w:val="00074418"/>
    <w:rsid w:val="00074458"/>
    <w:rsid w:val="00075BB6"/>
    <w:rsid w:val="00077324"/>
    <w:rsid w:val="0007754D"/>
    <w:rsid w:val="000775FF"/>
    <w:rsid w:val="00080CAA"/>
    <w:rsid w:val="00081812"/>
    <w:rsid w:val="00081E36"/>
    <w:rsid w:val="00081ECB"/>
    <w:rsid w:val="000825C0"/>
    <w:rsid w:val="00082B5D"/>
    <w:rsid w:val="00083D94"/>
    <w:rsid w:val="0008649F"/>
    <w:rsid w:val="00090E44"/>
    <w:rsid w:val="00092511"/>
    <w:rsid w:val="00092BAB"/>
    <w:rsid w:val="00093B8D"/>
    <w:rsid w:val="00094394"/>
    <w:rsid w:val="00094CB7"/>
    <w:rsid w:val="00095068"/>
    <w:rsid w:val="0009528F"/>
    <w:rsid w:val="000956FD"/>
    <w:rsid w:val="00095BC3"/>
    <w:rsid w:val="00096634"/>
    <w:rsid w:val="0009744F"/>
    <w:rsid w:val="000977F3"/>
    <w:rsid w:val="000A25FD"/>
    <w:rsid w:val="000A46B0"/>
    <w:rsid w:val="000A68DC"/>
    <w:rsid w:val="000B18D8"/>
    <w:rsid w:val="000B3B97"/>
    <w:rsid w:val="000B49C8"/>
    <w:rsid w:val="000B49D6"/>
    <w:rsid w:val="000B4BE2"/>
    <w:rsid w:val="000B4FCE"/>
    <w:rsid w:val="000C0119"/>
    <w:rsid w:val="000C180B"/>
    <w:rsid w:val="000C33BB"/>
    <w:rsid w:val="000C571E"/>
    <w:rsid w:val="000C57CD"/>
    <w:rsid w:val="000C680D"/>
    <w:rsid w:val="000C7F9A"/>
    <w:rsid w:val="000D0E02"/>
    <w:rsid w:val="000D4CAB"/>
    <w:rsid w:val="000E02B4"/>
    <w:rsid w:val="000E0D12"/>
    <w:rsid w:val="000E1497"/>
    <w:rsid w:val="000E23B5"/>
    <w:rsid w:val="000E5DDE"/>
    <w:rsid w:val="000E7DE5"/>
    <w:rsid w:val="000E7E0E"/>
    <w:rsid w:val="000F0B1D"/>
    <w:rsid w:val="000F37E2"/>
    <w:rsid w:val="000F4D83"/>
    <w:rsid w:val="000F5044"/>
    <w:rsid w:val="000F51DB"/>
    <w:rsid w:val="000F5CE5"/>
    <w:rsid w:val="000F64FC"/>
    <w:rsid w:val="000F6EBB"/>
    <w:rsid w:val="00100CEA"/>
    <w:rsid w:val="00101504"/>
    <w:rsid w:val="00105EB7"/>
    <w:rsid w:val="001064D2"/>
    <w:rsid w:val="00110FC6"/>
    <w:rsid w:val="00111563"/>
    <w:rsid w:val="00114A50"/>
    <w:rsid w:val="00116473"/>
    <w:rsid w:val="00120A28"/>
    <w:rsid w:val="001218B7"/>
    <w:rsid w:val="001242DD"/>
    <w:rsid w:val="00131A57"/>
    <w:rsid w:val="00132684"/>
    <w:rsid w:val="001328C8"/>
    <w:rsid w:val="00133099"/>
    <w:rsid w:val="00134AAB"/>
    <w:rsid w:val="0013592F"/>
    <w:rsid w:val="0013632D"/>
    <w:rsid w:val="00137EDD"/>
    <w:rsid w:val="0014088D"/>
    <w:rsid w:val="00143E1B"/>
    <w:rsid w:val="0014411E"/>
    <w:rsid w:val="001445F9"/>
    <w:rsid w:val="00146F4E"/>
    <w:rsid w:val="00150ABA"/>
    <w:rsid w:val="00151CF7"/>
    <w:rsid w:val="00152481"/>
    <w:rsid w:val="001526E7"/>
    <w:rsid w:val="00152CA5"/>
    <w:rsid w:val="001540F9"/>
    <w:rsid w:val="00157AE7"/>
    <w:rsid w:val="001605E5"/>
    <w:rsid w:val="00167387"/>
    <w:rsid w:val="00167A19"/>
    <w:rsid w:val="00167D28"/>
    <w:rsid w:val="0017025E"/>
    <w:rsid w:val="001720E0"/>
    <w:rsid w:val="00172BEE"/>
    <w:rsid w:val="00180F73"/>
    <w:rsid w:val="00184563"/>
    <w:rsid w:val="00185E60"/>
    <w:rsid w:val="00185E95"/>
    <w:rsid w:val="00186982"/>
    <w:rsid w:val="001870A8"/>
    <w:rsid w:val="0019035C"/>
    <w:rsid w:val="00190A40"/>
    <w:rsid w:val="00191A9A"/>
    <w:rsid w:val="001920E8"/>
    <w:rsid w:val="0019231A"/>
    <w:rsid w:val="0019358D"/>
    <w:rsid w:val="00195A6A"/>
    <w:rsid w:val="00195B69"/>
    <w:rsid w:val="0019788E"/>
    <w:rsid w:val="001A1FEB"/>
    <w:rsid w:val="001A3C40"/>
    <w:rsid w:val="001A4F19"/>
    <w:rsid w:val="001A564E"/>
    <w:rsid w:val="001B0ABA"/>
    <w:rsid w:val="001B1599"/>
    <w:rsid w:val="001B26A1"/>
    <w:rsid w:val="001B2C4C"/>
    <w:rsid w:val="001B2CB4"/>
    <w:rsid w:val="001B330F"/>
    <w:rsid w:val="001B7B85"/>
    <w:rsid w:val="001C1171"/>
    <w:rsid w:val="001C78AE"/>
    <w:rsid w:val="001D2238"/>
    <w:rsid w:val="001D22D2"/>
    <w:rsid w:val="001D525A"/>
    <w:rsid w:val="001D58C1"/>
    <w:rsid w:val="001E1FA0"/>
    <w:rsid w:val="001E2521"/>
    <w:rsid w:val="001E2B3C"/>
    <w:rsid w:val="001E4702"/>
    <w:rsid w:val="001E4DD3"/>
    <w:rsid w:val="001E55BD"/>
    <w:rsid w:val="001E6E69"/>
    <w:rsid w:val="001F161B"/>
    <w:rsid w:val="001F6D19"/>
    <w:rsid w:val="00202CD4"/>
    <w:rsid w:val="00203B25"/>
    <w:rsid w:val="00203BBD"/>
    <w:rsid w:val="0021015D"/>
    <w:rsid w:val="00210F1E"/>
    <w:rsid w:val="00213CF2"/>
    <w:rsid w:val="00217C1C"/>
    <w:rsid w:val="00221E34"/>
    <w:rsid w:val="00223760"/>
    <w:rsid w:val="00224556"/>
    <w:rsid w:val="00224B49"/>
    <w:rsid w:val="00224B9B"/>
    <w:rsid w:val="00224BB1"/>
    <w:rsid w:val="00224D26"/>
    <w:rsid w:val="00232BA9"/>
    <w:rsid w:val="00234DAC"/>
    <w:rsid w:val="0023684B"/>
    <w:rsid w:val="00240B83"/>
    <w:rsid w:val="002414A5"/>
    <w:rsid w:val="00242EF1"/>
    <w:rsid w:val="002442E4"/>
    <w:rsid w:val="00245140"/>
    <w:rsid w:val="00245770"/>
    <w:rsid w:val="002503C0"/>
    <w:rsid w:val="00250CC5"/>
    <w:rsid w:val="00250F72"/>
    <w:rsid w:val="00251859"/>
    <w:rsid w:val="00252E4D"/>
    <w:rsid w:val="00253FE4"/>
    <w:rsid w:val="00254FED"/>
    <w:rsid w:val="00257C82"/>
    <w:rsid w:val="002602E1"/>
    <w:rsid w:val="00260E65"/>
    <w:rsid w:val="00264954"/>
    <w:rsid w:val="00272DB6"/>
    <w:rsid w:val="00277601"/>
    <w:rsid w:val="002777CC"/>
    <w:rsid w:val="00282F6C"/>
    <w:rsid w:val="00285EFB"/>
    <w:rsid w:val="00285F54"/>
    <w:rsid w:val="00286413"/>
    <w:rsid w:val="00293148"/>
    <w:rsid w:val="002943E8"/>
    <w:rsid w:val="00294978"/>
    <w:rsid w:val="00296489"/>
    <w:rsid w:val="00297E8E"/>
    <w:rsid w:val="002A0A33"/>
    <w:rsid w:val="002A1CA6"/>
    <w:rsid w:val="002A22A4"/>
    <w:rsid w:val="002A2577"/>
    <w:rsid w:val="002A3DBB"/>
    <w:rsid w:val="002A3F24"/>
    <w:rsid w:val="002A4C19"/>
    <w:rsid w:val="002A5EBD"/>
    <w:rsid w:val="002B04A4"/>
    <w:rsid w:val="002B060B"/>
    <w:rsid w:val="002B1D53"/>
    <w:rsid w:val="002B2584"/>
    <w:rsid w:val="002B2808"/>
    <w:rsid w:val="002B3B19"/>
    <w:rsid w:val="002C05F9"/>
    <w:rsid w:val="002C07BD"/>
    <w:rsid w:val="002C20A9"/>
    <w:rsid w:val="002C2C5A"/>
    <w:rsid w:val="002C3839"/>
    <w:rsid w:val="002C466A"/>
    <w:rsid w:val="002D0C1E"/>
    <w:rsid w:val="002D0E9C"/>
    <w:rsid w:val="002D1E12"/>
    <w:rsid w:val="002D2B02"/>
    <w:rsid w:val="002D2BA9"/>
    <w:rsid w:val="002D3139"/>
    <w:rsid w:val="002D4833"/>
    <w:rsid w:val="002D50D7"/>
    <w:rsid w:val="002D68F1"/>
    <w:rsid w:val="002D7CA1"/>
    <w:rsid w:val="002E030D"/>
    <w:rsid w:val="002E0322"/>
    <w:rsid w:val="002E3397"/>
    <w:rsid w:val="002E3663"/>
    <w:rsid w:val="002E5D8C"/>
    <w:rsid w:val="002E6029"/>
    <w:rsid w:val="002E6514"/>
    <w:rsid w:val="002E6691"/>
    <w:rsid w:val="002E6D56"/>
    <w:rsid w:val="002E7C31"/>
    <w:rsid w:val="002F05A8"/>
    <w:rsid w:val="002F0FCC"/>
    <w:rsid w:val="002F1AE5"/>
    <w:rsid w:val="002F2E68"/>
    <w:rsid w:val="002F35F8"/>
    <w:rsid w:val="002F3E6E"/>
    <w:rsid w:val="002F4B0E"/>
    <w:rsid w:val="002F5CD4"/>
    <w:rsid w:val="002F62A7"/>
    <w:rsid w:val="002F6421"/>
    <w:rsid w:val="002F75AA"/>
    <w:rsid w:val="003017ED"/>
    <w:rsid w:val="003028FB"/>
    <w:rsid w:val="0031133D"/>
    <w:rsid w:val="00312036"/>
    <w:rsid w:val="003132B7"/>
    <w:rsid w:val="003136B3"/>
    <w:rsid w:val="0031431D"/>
    <w:rsid w:val="00314B8C"/>
    <w:rsid w:val="00315141"/>
    <w:rsid w:val="003160FB"/>
    <w:rsid w:val="00316184"/>
    <w:rsid w:val="003233CE"/>
    <w:rsid w:val="00325ACC"/>
    <w:rsid w:val="00325AE1"/>
    <w:rsid w:val="00325D91"/>
    <w:rsid w:val="00331ACF"/>
    <w:rsid w:val="00332A37"/>
    <w:rsid w:val="003338F6"/>
    <w:rsid w:val="00333937"/>
    <w:rsid w:val="00335395"/>
    <w:rsid w:val="00335C30"/>
    <w:rsid w:val="00337845"/>
    <w:rsid w:val="00340BC2"/>
    <w:rsid w:val="00342E20"/>
    <w:rsid w:val="003433A1"/>
    <w:rsid w:val="00344AA2"/>
    <w:rsid w:val="003456AB"/>
    <w:rsid w:val="00346848"/>
    <w:rsid w:val="00346B02"/>
    <w:rsid w:val="00347F95"/>
    <w:rsid w:val="003511D0"/>
    <w:rsid w:val="0035214A"/>
    <w:rsid w:val="003521D7"/>
    <w:rsid w:val="0035275F"/>
    <w:rsid w:val="00353ED8"/>
    <w:rsid w:val="00354572"/>
    <w:rsid w:val="0035527C"/>
    <w:rsid w:val="00355C3F"/>
    <w:rsid w:val="00357BCB"/>
    <w:rsid w:val="0036088D"/>
    <w:rsid w:val="00363B41"/>
    <w:rsid w:val="00364229"/>
    <w:rsid w:val="00365012"/>
    <w:rsid w:val="00365A2A"/>
    <w:rsid w:val="00367DAB"/>
    <w:rsid w:val="00372A7E"/>
    <w:rsid w:val="00372FA1"/>
    <w:rsid w:val="00373F7E"/>
    <w:rsid w:val="003752B7"/>
    <w:rsid w:val="00375F66"/>
    <w:rsid w:val="00376BA3"/>
    <w:rsid w:val="00376C34"/>
    <w:rsid w:val="00380089"/>
    <w:rsid w:val="003826BB"/>
    <w:rsid w:val="003848A7"/>
    <w:rsid w:val="00387FDC"/>
    <w:rsid w:val="00390153"/>
    <w:rsid w:val="00390397"/>
    <w:rsid w:val="0039114A"/>
    <w:rsid w:val="0039125A"/>
    <w:rsid w:val="00391D6F"/>
    <w:rsid w:val="0039277F"/>
    <w:rsid w:val="00393721"/>
    <w:rsid w:val="00396CD6"/>
    <w:rsid w:val="00397EF8"/>
    <w:rsid w:val="003A17A6"/>
    <w:rsid w:val="003A22F3"/>
    <w:rsid w:val="003A3A48"/>
    <w:rsid w:val="003A4B70"/>
    <w:rsid w:val="003A5ABC"/>
    <w:rsid w:val="003A64C3"/>
    <w:rsid w:val="003A7D34"/>
    <w:rsid w:val="003B09E4"/>
    <w:rsid w:val="003B0DCA"/>
    <w:rsid w:val="003B2EC5"/>
    <w:rsid w:val="003B6C8C"/>
    <w:rsid w:val="003C05D2"/>
    <w:rsid w:val="003C0A90"/>
    <w:rsid w:val="003C10A8"/>
    <w:rsid w:val="003C10B4"/>
    <w:rsid w:val="003C10B5"/>
    <w:rsid w:val="003C14F6"/>
    <w:rsid w:val="003C1522"/>
    <w:rsid w:val="003C21FC"/>
    <w:rsid w:val="003C3805"/>
    <w:rsid w:val="003C5114"/>
    <w:rsid w:val="003C69D1"/>
    <w:rsid w:val="003C6BDF"/>
    <w:rsid w:val="003C70DF"/>
    <w:rsid w:val="003C78DA"/>
    <w:rsid w:val="003D0883"/>
    <w:rsid w:val="003D17B7"/>
    <w:rsid w:val="003D3658"/>
    <w:rsid w:val="003D36B8"/>
    <w:rsid w:val="003D6970"/>
    <w:rsid w:val="003D77CF"/>
    <w:rsid w:val="003D7E73"/>
    <w:rsid w:val="003E1C83"/>
    <w:rsid w:val="003E23AE"/>
    <w:rsid w:val="003E266E"/>
    <w:rsid w:val="003E29C3"/>
    <w:rsid w:val="003E34A9"/>
    <w:rsid w:val="003E3626"/>
    <w:rsid w:val="003E4AC6"/>
    <w:rsid w:val="003E64AF"/>
    <w:rsid w:val="003E7C40"/>
    <w:rsid w:val="003F065F"/>
    <w:rsid w:val="003F0BEC"/>
    <w:rsid w:val="003F16DD"/>
    <w:rsid w:val="003F489B"/>
    <w:rsid w:val="00400F3F"/>
    <w:rsid w:val="0040221E"/>
    <w:rsid w:val="004027C0"/>
    <w:rsid w:val="00403868"/>
    <w:rsid w:val="00405506"/>
    <w:rsid w:val="00406346"/>
    <w:rsid w:val="00407119"/>
    <w:rsid w:val="0041012A"/>
    <w:rsid w:val="00410830"/>
    <w:rsid w:val="00410C33"/>
    <w:rsid w:val="00410DE5"/>
    <w:rsid w:val="00411708"/>
    <w:rsid w:val="00411BAB"/>
    <w:rsid w:val="00413283"/>
    <w:rsid w:val="00413CF3"/>
    <w:rsid w:val="00414887"/>
    <w:rsid w:val="004153C1"/>
    <w:rsid w:val="00415756"/>
    <w:rsid w:val="00415CA6"/>
    <w:rsid w:val="004172F8"/>
    <w:rsid w:val="004215DA"/>
    <w:rsid w:val="00422FC2"/>
    <w:rsid w:val="00423257"/>
    <w:rsid w:val="00423581"/>
    <w:rsid w:val="00423CF4"/>
    <w:rsid w:val="00427C06"/>
    <w:rsid w:val="00434108"/>
    <w:rsid w:val="004404C6"/>
    <w:rsid w:val="00441256"/>
    <w:rsid w:val="00443108"/>
    <w:rsid w:val="004437D5"/>
    <w:rsid w:val="00443CD6"/>
    <w:rsid w:val="00444B15"/>
    <w:rsid w:val="00444C91"/>
    <w:rsid w:val="0044573A"/>
    <w:rsid w:val="00445933"/>
    <w:rsid w:val="00446A4F"/>
    <w:rsid w:val="00450805"/>
    <w:rsid w:val="0045412F"/>
    <w:rsid w:val="00455809"/>
    <w:rsid w:val="00461FF7"/>
    <w:rsid w:val="00462013"/>
    <w:rsid w:val="004633C9"/>
    <w:rsid w:val="004638B9"/>
    <w:rsid w:val="00464E48"/>
    <w:rsid w:val="00467420"/>
    <w:rsid w:val="0047097B"/>
    <w:rsid w:val="004713AD"/>
    <w:rsid w:val="0047312F"/>
    <w:rsid w:val="004740BF"/>
    <w:rsid w:val="00475974"/>
    <w:rsid w:val="00476971"/>
    <w:rsid w:val="004769E0"/>
    <w:rsid w:val="00480045"/>
    <w:rsid w:val="00480110"/>
    <w:rsid w:val="00481CDE"/>
    <w:rsid w:val="00481E38"/>
    <w:rsid w:val="00482661"/>
    <w:rsid w:val="00483078"/>
    <w:rsid w:val="00483418"/>
    <w:rsid w:val="00484278"/>
    <w:rsid w:val="00484319"/>
    <w:rsid w:val="00491B02"/>
    <w:rsid w:val="0049341E"/>
    <w:rsid w:val="00496147"/>
    <w:rsid w:val="00496927"/>
    <w:rsid w:val="004A2AC3"/>
    <w:rsid w:val="004A3442"/>
    <w:rsid w:val="004A3E00"/>
    <w:rsid w:val="004A4224"/>
    <w:rsid w:val="004A5340"/>
    <w:rsid w:val="004A7855"/>
    <w:rsid w:val="004B2AE4"/>
    <w:rsid w:val="004B452C"/>
    <w:rsid w:val="004B55DA"/>
    <w:rsid w:val="004B6F03"/>
    <w:rsid w:val="004C06D3"/>
    <w:rsid w:val="004C0AD4"/>
    <w:rsid w:val="004C1F41"/>
    <w:rsid w:val="004C2CFD"/>
    <w:rsid w:val="004C4598"/>
    <w:rsid w:val="004C686B"/>
    <w:rsid w:val="004D18B5"/>
    <w:rsid w:val="004D3A2F"/>
    <w:rsid w:val="004D47DF"/>
    <w:rsid w:val="004D5E6E"/>
    <w:rsid w:val="004D6B81"/>
    <w:rsid w:val="004E11CA"/>
    <w:rsid w:val="004E2B57"/>
    <w:rsid w:val="004E4207"/>
    <w:rsid w:val="004E4CD0"/>
    <w:rsid w:val="004E50B3"/>
    <w:rsid w:val="004E56C1"/>
    <w:rsid w:val="004F08C9"/>
    <w:rsid w:val="004F3114"/>
    <w:rsid w:val="004F35DB"/>
    <w:rsid w:val="004F3A48"/>
    <w:rsid w:val="004F5403"/>
    <w:rsid w:val="004F5B1F"/>
    <w:rsid w:val="004F7299"/>
    <w:rsid w:val="005025C1"/>
    <w:rsid w:val="005044A7"/>
    <w:rsid w:val="005064D5"/>
    <w:rsid w:val="0050672D"/>
    <w:rsid w:val="00510F91"/>
    <w:rsid w:val="00515ABE"/>
    <w:rsid w:val="005165BC"/>
    <w:rsid w:val="00517037"/>
    <w:rsid w:val="00521A55"/>
    <w:rsid w:val="00533E33"/>
    <w:rsid w:val="00534EA8"/>
    <w:rsid w:val="0053522A"/>
    <w:rsid w:val="005369BA"/>
    <w:rsid w:val="005419D9"/>
    <w:rsid w:val="00544786"/>
    <w:rsid w:val="005457D4"/>
    <w:rsid w:val="00545CD8"/>
    <w:rsid w:val="005461D0"/>
    <w:rsid w:val="00546EE1"/>
    <w:rsid w:val="005502A2"/>
    <w:rsid w:val="00550B1C"/>
    <w:rsid w:val="005519A4"/>
    <w:rsid w:val="00552B7A"/>
    <w:rsid w:val="0055342A"/>
    <w:rsid w:val="00553AB1"/>
    <w:rsid w:val="00553F74"/>
    <w:rsid w:val="005548D9"/>
    <w:rsid w:val="00556FBD"/>
    <w:rsid w:val="00560710"/>
    <w:rsid w:val="00561B75"/>
    <w:rsid w:val="00561D41"/>
    <w:rsid w:val="00571B1B"/>
    <w:rsid w:val="00573B22"/>
    <w:rsid w:val="00574B7F"/>
    <w:rsid w:val="00575519"/>
    <w:rsid w:val="005757C9"/>
    <w:rsid w:val="00575B89"/>
    <w:rsid w:val="005765DF"/>
    <w:rsid w:val="00576B5F"/>
    <w:rsid w:val="005772AE"/>
    <w:rsid w:val="00580869"/>
    <w:rsid w:val="00580ED8"/>
    <w:rsid w:val="0058100A"/>
    <w:rsid w:val="0058308D"/>
    <w:rsid w:val="005846B6"/>
    <w:rsid w:val="005877F1"/>
    <w:rsid w:val="00587DA3"/>
    <w:rsid w:val="00590A3B"/>
    <w:rsid w:val="0059142D"/>
    <w:rsid w:val="00591545"/>
    <w:rsid w:val="005929B8"/>
    <w:rsid w:val="00592ABF"/>
    <w:rsid w:val="00594377"/>
    <w:rsid w:val="00595D76"/>
    <w:rsid w:val="0059641D"/>
    <w:rsid w:val="005970AA"/>
    <w:rsid w:val="005A05E4"/>
    <w:rsid w:val="005A29AF"/>
    <w:rsid w:val="005A4563"/>
    <w:rsid w:val="005A4A1F"/>
    <w:rsid w:val="005A4F6D"/>
    <w:rsid w:val="005A665A"/>
    <w:rsid w:val="005B191A"/>
    <w:rsid w:val="005B3B09"/>
    <w:rsid w:val="005B5049"/>
    <w:rsid w:val="005B507F"/>
    <w:rsid w:val="005B6E17"/>
    <w:rsid w:val="005B7AF8"/>
    <w:rsid w:val="005B7B6D"/>
    <w:rsid w:val="005B7D67"/>
    <w:rsid w:val="005C13EE"/>
    <w:rsid w:val="005C3C99"/>
    <w:rsid w:val="005C7049"/>
    <w:rsid w:val="005C7300"/>
    <w:rsid w:val="005D29DC"/>
    <w:rsid w:val="005D2E54"/>
    <w:rsid w:val="005E02B0"/>
    <w:rsid w:val="005E0C39"/>
    <w:rsid w:val="005E1570"/>
    <w:rsid w:val="005E182B"/>
    <w:rsid w:val="005E2A80"/>
    <w:rsid w:val="005E2FCE"/>
    <w:rsid w:val="005E4833"/>
    <w:rsid w:val="005E5173"/>
    <w:rsid w:val="005E62FE"/>
    <w:rsid w:val="005E6FBB"/>
    <w:rsid w:val="005F0821"/>
    <w:rsid w:val="005F3789"/>
    <w:rsid w:val="005F444F"/>
    <w:rsid w:val="005F4EAB"/>
    <w:rsid w:val="005F5880"/>
    <w:rsid w:val="005F6BBA"/>
    <w:rsid w:val="005F782A"/>
    <w:rsid w:val="0060047D"/>
    <w:rsid w:val="00601B8B"/>
    <w:rsid w:val="00602AF7"/>
    <w:rsid w:val="0060496A"/>
    <w:rsid w:val="00604C44"/>
    <w:rsid w:val="00604DA5"/>
    <w:rsid w:val="00604E37"/>
    <w:rsid w:val="00606995"/>
    <w:rsid w:val="00607B34"/>
    <w:rsid w:val="00610A6E"/>
    <w:rsid w:val="00610F90"/>
    <w:rsid w:val="00611872"/>
    <w:rsid w:val="00611D21"/>
    <w:rsid w:val="00612DA5"/>
    <w:rsid w:val="00612FFE"/>
    <w:rsid w:val="006130AE"/>
    <w:rsid w:val="00615B5B"/>
    <w:rsid w:val="00615ED6"/>
    <w:rsid w:val="00616E75"/>
    <w:rsid w:val="0062166C"/>
    <w:rsid w:val="00622512"/>
    <w:rsid w:val="006229F8"/>
    <w:rsid w:val="00623D3C"/>
    <w:rsid w:val="00627155"/>
    <w:rsid w:val="0063037E"/>
    <w:rsid w:val="00631B00"/>
    <w:rsid w:val="00632D0B"/>
    <w:rsid w:val="00635157"/>
    <w:rsid w:val="00636E77"/>
    <w:rsid w:val="00636F1B"/>
    <w:rsid w:val="0064197F"/>
    <w:rsid w:val="0064697F"/>
    <w:rsid w:val="00650F00"/>
    <w:rsid w:val="00651544"/>
    <w:rsid w:val="0065641A"/>
    <w:rsid w:val="006573E4"/>
    <w:rsid w:val="006575E0"/>
    <w:rsid w:val="00657C7C"/>
    <w:rsid w:val="00660B91"/>
    <w:rsid w:val="00661D1C"/>
    <w:rsid w:val="0066416B"/>
    <w:rsid w:val="006647EA"/>
    <w:rsid w:val="00665F58"/>
    <w:rsid w:val="006676D1"/>
    <w:rsid w:val="006679EE"/>
    <w:rsid w:val="0067174A"/>
    <w:rsid w:val="00673A86"/>
    <w:rsid w:val="006749FC"/>
    <w:rsid w:val="00674B94"/>
    <w:rsid w:val="006752EB"/>
    <w:rsid w:val="006761CE"/>
    <w:rsid w:val="00677309"/>
    <w:rsid w:val="0067756D"/>
    <w:rsid w:val="00677909"/>
    <w:rsid w:val="00677E6A"/>
    <w:rsid w:val="006805DA"/>
    <w:rsid w:val="00681EC5"/>
    <w:rsid w:val="006823E6"/>
    <w:rsid w:val="0068329A"/>
    <w:rsid w:val="00685A8C"/>
    <w:rsid w:val="00685E92"/>
    <w:rsid w:val="00686658"/>
    <w:rsid w:val="00687025"/>
    <w:rsid w:val="006927AB"/>
    <w:rsid w:val="00695F85"/>
    <w:rsid w:val="006964ED"/>
    <w:rsid w:val="00696E3D"/>
    <w:rsid w:val="00697181"/>
    <w:rsid w:val="006A066B"/>
    <w:rsid w:val="006A4D90"/>
    <w:rsid w:val="006A4DB3"/>
    <w:rsid w:val="006A4E1C"/>
    <w:rsid w:val="006A60A5"/>
    <w:rsid w:val="006A6B01"/>
    <w:rsid w:val="006A79A6"/>
    <w:rsid w:val="006A7BAD"/>
    <w:rsid w:val="006B0ADB"/>
    <w:rsid w:val="006B0DD2"/>
    <w:rsid w:val="006B4BAC"/>
    <w:rsid w:val="006C4693"/>
    <w:rsid w:val="006C7296"/>
    <w:rsid w:val="006D12A4"/>
    <w:rsid w:val="006D2212"/>
    <w:rsid w:val="006D374F"/>
    <w:rsid w:val="006D3EA2"/>
    <w:rsid w:val="006D41FF"/>
    <w:rsid w:val="006D4FEE"/>
    <w:rsid w:val="006D6D8E"/>
    <w:rsid w:val="006D7A66"/>
    <w:rsid w:val="006E11DA"/>
    <w:rsid w:val="006E15C5"/>
    <w:rsid w:val="006E1AB5"/>
    <w:rsid w:val="006E2A7C"/>
    <w:rsid w:val="006E4598"/>
    <w:rsid w:val="006E4721"/>
    <w:rsid w:val="006E4C23"/>
    <w:rsid w:val="006E6AFD"/>
    <w:rsid w:val="006E77AF"/>
    <w:rsid w:val="006F050B"/>
    <w:rsid w:val="006F05E1"/>
    <w:rsid w:val="006F24DD"/>
    <w:rsid w:val="006F29A5"/>
    <w:rsid w:val="006F38BF"/>
    <w:rsid w:val="006F3CBF"/>
    <w:rsid w:val="006F4164"/>
    <w:rsid w:val="006F679B"/>
    <w:rsid w:val="00700895"/>
    <w:rsid w:val="00700979"/>
    <w:rsid w:val="00701E3A"/>
    <w:rsid w:val="00702862"/>
    <w:rsid w:val="00712321"/>
    <w:rsid w:val="0071274E"/>
    <w:rsid w:val="00712CEA"/>
    <w:rsid w:val="007131C0"/>
    <w:rsid w:val="0071448A"/>
    <w:rsid w:val="00715DB2"/>
    <w:rsid w:val="00717DDF"/>
    <w:rsid w:val="0072362F"/>
    <w:rsid w:val="00724FB8"/>
    <w:rsid w:val="00726238"/>
    <w:rsid w:val="00732268"/>
    <w:rsid w:val="0073494E"/>
    <w:rsid w:val="00736A81"/>
    <w:rsid w:val="007404F4"/>
    <w:rsid w:val="00740BB1"/>
    <w:rsid w:val="00741B73"/>
    <w:rsid w:val="00741EDB"/>
    <w:rsid w:val="007422C2"/>
    <w:rsid w:val="00742411"/>
    <w:rsid w:val="00742E01"/>
    <w:rsid w:val="00743DB4"/>
    <w:rsid w:val="007451B8"/>
    <w:rsid w:val="00746EC7"/>
    <w:rsid w:val="00747520"/>
    <w:rsid w:val="007502B5"/>
    <w:rsid w:val="00750584"/>
    <w:rsid w:val="007507AF"/>
    <w:rsid w:val="007514DC"/>
    <w:rsid w:val="00751BED"/>
    <w:rsid w:val="0075287C"/>
    <w:rsid w:val="00752FF3"/>
    <w:rsid w:val="00753FAE"/>
    <w:rsid w:val="007540D0"/>
    <w:rsid w:val="00754D05"/>
    <w:rsid w:val="00755A57"/>
    <w:rsid w:val="0075687D"/>
    <w:rsid w:val="00760D17"/>
    <w:rsid w:val="00760D2B"/>
    <w:rsid w:val="00761C04"/>
    <w:rsid w:val="00764D38"/>
    <w:rsid w:val="00764F91"/>
    <w:rsid w:val="00765742"/>
    <w:rsid w:val="00766159"/>
    <w:rsid w:val="00767630"/>
    <w:rsid w:val="00771303"/>
    <w:rsid w:val="007727AE"/>
    <w:rsid w:val="0077386A"/>
    <w:rsid w:val="00774C57"/>
    <w:rsid w:val="00775000"/>
    <w:rsid w:val="007772C7"/>
    <w:rsid w:val="007774BA"/>
    <w:rsid w:val="0078021B"/>
    <w:rsid w:val="00780977"/>
    <w:rsid w:val="00780D78"/>
    <w:rsid w:val="00781CC4"/>
    <w:rsid w:val="00784797"/>
    <w:rsid w:val="00785FB7"/>
    <w:rsid w:val="00786902"/>
    <w:rsid w:val="00786FFE"/>
    <w:rsid w:val="00787AFE"/>
    <w:rsid w:val="0079118C"/>
    <w:rsid w:val="00791EBE"/>
    <w:rsid w:val="00792C30"/>
    <w:rsid w:val="00793701"/>
    <w:rsid w:val="007939DA"/>
    <w:rsid w:val="007A1EF5"/>
    <w:rsid w:val="007A28AE"/>
    <w:rsid w:val="007A2E84"/>
    <w:rsid w:val="007A5AAB"/>
    <w:rsid w:val="007A6417"/>
    <w:rsid w:val="007A66D5"/>
    <w:rsid w:val="007A756C"/>
    <w:rsid w:val="007B0180"/>
    <w:rsid w:val="007B0D12"/>
    <w:rsid w:val="007B129D"/>
    <w:rsid w:val="007B2FD3"/>
    <w:rsid w:val="007B2FEB"/>
    <w:rsid w:val="007B51C2"/>
    <w:rsid w:val="007B5BF8"/>
    <w:rsid w:val="007B5FA9"/>
    <w:rsid w:val="007B67AF"/>
    <w:rsid w:val="007C143F"/>
    <w:rsid w:val="007C3184"/>
    <w:rsid w:val="007C35DE"/>
    <w:rsid w:val="007C4EFE"/>
    <w:rsid w:val="007C5C0E"/>
    <w:rsid w:val="007C5D77"/>
    <w:rsid w:val="007C64AD"/>
    <w:rsid w:val="007C75B7"/>
    <w:rsid w:val="007C7A03"/>
    <w:rsid w:val="007D4718"/>
    <w:rsid w:val="007D5B01"/>
    <w:rsid w:val="007D7658"/>
    <w:rsid w:val="007D7741"/>
    <w:rsid w:val="007E1A9F"/>
    <w:rsid w:val="007E228C"/>
    <w:rsid w:val="007E28B0"/>
    <w:rsid w:val="007E6A2E"/>
    <w:rsid w:val="007E6FFB"/>
    <w:rsid w:val="007E7377"/>
    <w:rsid w:val="007F47B6"/>
    <w:rsid w:val="007F4B93"/>
    <w:rsid w:val="007F54A8"/>
    <w:rsid w:val="00800643"/>
    <w:rsid w:val="00800C9B"/>
    <w:rsid w:val="008067C3"/>
    <w:rsid w:val="00810F1D"/>
    <w:rsid w:val="0081236A"/>
    <w:rsid w:val="00812E66"/>
    <w:rsid w:val="008156BF"/>
    <w:rsid w:val="00816E62"/>
    <w:rsid w:val="00817065"/>
    <w:rsid w:val="00817D43"/>
    <w:rsid w:val="00817DB6"/>
    <w:rsid w:val="00820636"/>
    <w:rsid w:val="00825412"/>
    <w:rsid w:val="00825B29"/>
    <w:rsid w:val="00831BFF"/>
    <w:rsid w:val="0083251D"/>
    <w:rsid w:val="00834582"/>
    <w:rsid w:val="00834B07"/>
    <w:rsid w:val="0084010C"/>
    <w:rsid w:val="00841DE8"/>
    <w:rsid w:val="00842653"/>
    <w:rsid w:val="00842B61"/>
    <w:rsid w:val="00843174"/>
    <w:rsid w:val="0084367D"/>
    <w:rsid w:val="0084582A"/>
    <w:rsid w:val="0084647B"/>
    <w:rsid w:val="00847DD3"/>
    <w:rsid w:val="00852239"/>
    <w:rsid w:val="0085378F"/>
    <w:rsid w:val="00855862"/>
    <w:rsid w:val="00856B89"/>
    <w:rsid w:val="00857A46"/>
    <w:rsid w:val="00857FA1"/>
    <w:rsid w:val="00861F66"/>
    <w:rsid w:val="00862913"/>
    <w:rsid w:val="00863585"/>
    <w:rsid w:val="00864409"/>
    <w:rsid w:val="008649F1"/>
    <w:rsid w:val="008665F6"/>
    <w:rsid w:val="00866B9C"/>
    <w:rsid w:val="0087148A"/>
    <w:rsid w:val="00871D4D"/>
    <w:rsid w:val="008726B3"/>
    <w:rsid w:val="00872BAC"/>
    <w:rsid w:val="00873D3F"/>
    <w:rsid w:val="00873F11"/>
    <w:rsid w:val="0087458C"/>
    <w:rsid w:val="00874941"/>
    <w:rsid w:val="0087695A"/>
    <w:rsid w:val="00877040"/>
    <w:rsid w:val="0088033E"/>
    <w:rsid w:val="00880420"/>
    <w:rsid w:val="00881740"/>
    <w:rsid w:val="00881789"/>
    <w:rsid w:val="0088263F"/>
    <w:rsid w:val="00883DE2"/>
    <w:rsid w:val="008901D1"/>
    <w:rsid w:val="0089095D"/>
    <w:rsid w:val="00892780"/>
    <w:rsid w:val="00892D7D"/>
    <w:rsid w:val="008954BB"/>
    <w:rsid w:val="00897922"/>
    <w:rsid w:val="008A00E9"/>
    <w:rsid w:val="008A1679"/>
    <w:rsid w:val="008A24BD"/>
    <w:rsid w:val="008A6754"/>
    <w:rsid w:val="008A6A90"/>
    <w:rsid w:val="008A6D11"/>
    <w:rsid w:val="008B2684"/>
    <w:rsid w:val="008B381C"/>
    <w:rsid w:val="008B5736"/>
    <w:rsid w:val="008C127D"/>
    <w:rsid w:val="008C146B"/>
    <w:rsid w:val="008C17B2"/>
    <w:rsid w:val="008C1A02"/>
    <w:rsid w:val="008C39BE"/>
    <w:rsid w:val="008C3F93"/>
    <w:rsid w:val="008C49EF"/>
    <w:rsid w:val="008C4B59"/>
    <w:rsid w:val="008C57CB"/>
    <w:rsid w:val="008C6727"/>
    <w:rsid w:val="008D1239"/>
    <w:rsid w:val="008D204A"/>
    <w:rsid w:val="008D2C2E"/>
    <w:rsid w:val="008D34DF"/>
    <w:rsid w:val="008D4D76"/>
    <w:rsid w:val="008D53F6"/>
    <w:rsid w:val="008D5C63"/>
    <w:rsid w:val="008D7559"/>
    <w:rsid w:val="008E1710"/>
    <w:rsid w:val="008E293D"/>
    <w:rsid w:val="008E365E"/>
    <w:rsid w:val="008E56C7"/>
    <w:rsid w:val="008E7C9E"/>
    <w:rsid w:val="008F1A4E"/>
    <w:rsid w:val="008F282B"/>
    <w:rsid w:val="008F2DE6"/>
    <w:rsid w:val="008F2E37"/>
    <w:rsid w:val="008F3677"/>
    <w:rsid w:val="008F3A07"/>
    <w:rsid w:val="008F4BC7"/>
    <w:rsid w:val="008F5DF2"/>
    <w:rsid w:val="009006C1"/>
    <w:rsid w:val="009012DF"/>
    <w:rsid w:val="00901C1B"/>
    <w:rsid w:val="00902003"/>
    <w:rsid w:val="00902084"/>
    <w:rsid w:val="00902B7A"/>
    <w:rsid w:val="00903694"/>
    <w:rsid w:val="00905F6D"/>
    <w:rsid w:val="00910B8B"/>
    <w:rsid w:val="00911D1E"/>
    <w:rsid w:val="009138B7"/>
    <w:rsid w:val="00913FAB"/>
    <w:rsid w:val="009175D7"/>
    <w:rsid w:val="009176A7"/>
    <w:rsid w:val="00917983"/>
    <w:rsid w:val="00920F91"/>
    <w:rsid w:val="009210C7"/>
    <w:rsid w:val="00925277"/>
    <w:rsid w:val="00927170"/>
    <w:rsid w:val="009279AC"/>
    <w:rsid w:val="009314EB"/>
    <w:rsid w:val="00931E2F"/>
    <w:rsid w:val="0093256D"/>
    <w:rsid w:val="0093283B"/>
    <w:rsid w:val="00932FE4"/>
    <w:rsid w:val="00935D42"/>
    <w:rsid w:val="00940FDF"/>
    <w:rsid w:val="009435B7"/>
    <w:rsid w:val="00943FC9"/>
    <w:rsid w:val="0094416A"/>
    <w:rsid w:val="00944751"/>
    <w:rsid w:val="009447D2"/>
    <w:rsid w:val="00944FB8"/>
    <w:rsid w:val="0094523D"/>
    <w:rsid w:val="009453EF"/>
    <w:rsid w:val="0094557D"/>
    <w:rsid w:val="00945630"/>
    <w:rsid w:val="00945AFF"/>
    <w:rsid w:val="0094642F"/>
    <w:rsid w:val="009471D8"/>
    <w:rsid w:val="0095042B"/>
    <w:rsid w:val="009508B4"/>
    <w:rsid w:val="00950C3D"/>
    <w:rsid w:val="00950C47"/>
    <w:rsid w:val="0095192C"/>
    <w:rsid w:val="00952E3E"/>
    <w:rsid w:val="009535B7"/>
    <w:rsid w:val="00953927"/>
    <w:rsid w:val="00953DC3"/>
    <w:rsid w:val="00955E86"/>
    <w:rsid w:val="00956123"/>
    <w:rsid w:val="00956E50"/>
    <w:rsid w:val="00960EA7"/>
    <w:rsid w:val="00961174"/>
    <w:rsid w:val="00961F97"/>
    <w:rsid w:val="0096221D"/>
    <w:rsid w:val="00963039"/>
    <w:rsid w:val="0096351E"/>
    <w:rsid w:val="00963D26"/>
    <w:rsid w:val="00964136"/>
    <w:rsid w:val="0096500F"/>
    <w:rsid w:val="00965559"/>
    <w:rsid w:val="00966127"/>
    <w:rsid w:val="009678EB"/>
    <w:rsid w:val="009712B8"/>
    <w:rsid w:val="00972A5F"/>
    <w:rsid w:val="0097483D"/>
    <w:rsid w:val="009756B5"/>
    <w:rsid w:val="00977715"/>
    <w:rsid w:val="009806C4"/>
    <w:rsid w:val="009809BE"/>
    <w:rsid w:val="00982699"/>
    <w:rsid w:val="00982746"/>
    <w:rsid w:val="00983CB2"/>
    <w:rsid w:val="00985B5B"/>
    <w:rsid w:val="00985E3B"/>
    <w:rsid w:val="00986684"/>
    <w:rsid w:val="0099003A"/>
    <w:rsid w:val="009916EE"/>
    <w:rsid w:val="0099198F"/>
    <w:rsid w:val="00992550"/>
    <w:rsid w:val="00992E01"/>
    <w:rsid w:val="009940BA"/>
    <w:rsid w:val="009952FA"/>
    <w:rsid w:val="00995B87"/>
    <w:rsid w:val="0099608E"/>
    <w:rsid w:val="00996133"/>
    <w:rsid w:val="00996A7C"/>
    <w:rsid w:val="009A0153"/>
    <w:rsid w:val="009A04B8"/>
    <w:rsid w:val="009A0A02"/>
    <w:rsid w:val="009A267B"/>
    <w:rsid w:val="009A2915"/>
    <w:rsid w:val="009A4266"/>
    <w:rsid w:val="009A6221"/>
    <w:rsid w:val="009A6342"/>
    <w:rsid w:val="009A6A1A"/>
    <w:rsid w:val="009A6B41"/>
    <w:rsid w:val="009A6CEA"/>
    <w:rsid w:val="009B0F7F"/>
    <w:rsid w:val="009B1207"/>
    <w:rsid w:val="009B3142"/>
    <w:rsid w:val="009B4E62"/>
    <w:rsid w:val="009B5B63"/>
    <w:rsid w:val="009B5E30"/>
    <w:rsid w:val="009B6983"/>
    <w:rsid w:val="009C0CB7"/>
    <w:rsid w:val="009C1101"/>
    <w:rsid w:val="009C148B"/>
    <w:rsid w:val="009C2601"/>
    <w:rsid w:val="009C2955"/>
    <w:rsid w:val="009C5B54"/>
    <w:rsid w:val="009C5CE7"/>
    <w:rsid w:val="009D1E2C"/>
    <w:rsid w:val="009D2761"/>
    <w:rsid w:val="009D41B1"/>
    <w:rsid w:val="009D4EC6"/>
    <w:rsid w:val="009D57D6"/>
    <w:rsid w:val="009D57ED"/>
    <w:rsid w:val="009D622B"/>
    <w:rsid w:val="009D68B6"/>
    <w:rsid w:val="009E0B9D"/>
    <w:rsid w:val="009E14E5"/>
    <w:rsid w:val="009E574A"/>
    <w:rsid w:val="009E7AAC"/>
    <w:rsid w:val="009F03DC"/>
    <w:rsid w:val="009F2699"/>
    <w:rsid w:val="009F3318"/>
    <w:rsid w:val="009F635F"/>
    <w:rsid w:val="009F77E9"/>
    <w:rsid w:val="00A0022F"/>
    <w:rsid w:val="00A0028B"/>
    <w:rsid w:val="00A00F87"/>
    <w:rsid w:val="00A021D8"/>
    <w:rsid w:val="00A0409B"/>
    <w:rsid w:val="00A04A39"/>
    <w:rsid w:val="00A04D29"/>
    <w:rsid w:val="00A0775E"/>
    <w:rsid w:val="00A12659"/>
    <w:rsid w:val="00A1418D"/>
    <w:rsid w:val="00A15FAC"/>
    <w:rsid w:val="00A2020E"/>
    <w:rsid w:val="00A22845"/>
    <w:rsid w:val="00A2537E"/>
    <w:rsid w:val="00A26DCD"/>
    <w:rsid w:val="00A26ED8"/>
    <w:rsid w:val="00A27CFE"/>
    <w:rsid w:val="00A27D99"/>
    <w:rsid w:val="00A311EB"/>
    <w:rsid w:val="00A33ED8"/>
    <w:rsid w:val="00A34797"/>
    <w:rsid w:val="00A405DE"/>
    <w:rsid w:val="00A41029"/>
    <w:rsid w:val="00A43629"/>
    <w:rsid w:val="00A437F2"/>
    <w:rsid w:val="00A44B14"/>
    <w:rsid w:val="00A47B68"/>
    <w:rsid w:val="00A50069"/>
    <w:rsid w:val="00A515DB"/>
    <w:rsid w:val="00A52192"/>
    <w:rsid w:val="00A53AED"/>
    <w:rsid w:val="00A54E81"/>
    <w:rsid w:val="00A55B1A"/>
    <w:rsid w:val="00A56024"/>
    <w:rsid w:val="00A56C7F"/>
    <w:rsid w:val="00A56D29"/>
    <w:rsid w:val="00A5789F"/>
    <w:rsid w:val="00A57B98"/>
    <w:rsid w:val="00A6098D"/>
    <w:rsid w:val="00A62697"/>
    <w:rsid w:val="00A62DA6"/>
    <w:rsid w:val="00A630C3"/>
    <w:rsid w:val="00A6310D"/>
    <w:rsid w:val="00A63249"/>
    <w:rsid w:val="00A672B8"/>
    <w:rsid w:val="00A675DA"/>
    <w:rsid w:val="00A70073"/>
    <w:rsid w:val="00A7048A"/>
    <w:rsid w:val="00A70721"/>
    <w:rsid w:val="00A70D4A"/>
    <w:rsid w:val="00A73B55"/>
    <w:rsid w:val="00A742DD"/>
    <w:rsid w:val="00A74696"/>
    <w:rsid w:val="00A7691B"/>
    <w:rsid w:val="00A77587"/>
    <w:rsid w:val="00A77B89"/>
    <w:rsid w:val="00A80107"/>
    <w:rsid w:val="00A808FE"/>
    <w:rsid w:val="00A83413"/>
    <w:rsid w:val="00A83D61"/>
    <w:rsid w:val="00A8775F"/>
    <w:rsid w:val="00A90CE3"/>
    <w:rsid w:val="00A92432"/>
    <w:rsid w:val="00A9287A"/>
    <w:rsid w:val="00A93762"/>
    <w:rsid w:val="00A9761C"/>
    <w:rsid w:val="00AA022C"/>
    <w:rsid w:val="00AA1BEB"/>
    <w:rsid w:val="00AA1D9F"/>
    <w:rsid w:val="00AA22A0"/>
    <w:rsid w:val="00AA4FC8"/>
    <w:rsid w:val="00AA6BC0"/>
    <w:rsid w:val="00AA78B0"/>
    <w:rsid w:val="00AA79FE"/>
    <w:rsid w:val="00AB0C94"/>
    <w:rsid w:val="00AB283A"/>
    <w:rsid w:val="00AB436F"/>
    <w:rsid w:val="00AB56D3"/>
    <w:rsid w:val="00AB5A8C"/>
    <w:rsid w:val="00AB5C72"/>
    <w:rsid w:val="00AC3317"/>
    <w:rsid w:val="00AC4378"/>
    <w:rsid w:val="00AC5005"/>
    <w:rsid w:val="00AC6B23"/>
    <w:rsid w:val="00AD018A"/>
    <w:rsid w:val="00AD1243"/>
    <w:rsid w:val="00AD4B70"/>
    <w:rsid w:val="00AD4FCD"/>
    <w:rsid w:val="00AD5195"/>
    <w:rsid w:val="00AE26B0"/>
    <w:rsid w:val="00AE2D63"/>
    <w:rsid w:val="00AE35B0"/>
    <w:rsid w:val="00AE4DD5"/>
    <w:rsid w:val="00AE6B05"/>
    <w:rsid w:val="00AE7B2D"/>
    <w:rsid w:val="00AF506F"/>
    <w:rsid w:val="00AF6BDE"/>
    <w:rsid w:val="00AF7F17"/>
    <w:rsid w:val="00B01120"/>
    <w:rsid w:val="00B0124D"/>
    <w:rsid w:val="00B02DA9"/>
    <w:rsid w:val="00B02DF9"/>
    <w:rsid w:val="00B03406"/>
    <w:rsid w:val="00B03BF3"/>
    <w:rsid w:val="00B05F2F"/>
    <w:rsid w:val="00B13276"/>
    <w:rsid w:val="00B1530D"/>
    <w:rsid w:val="00B20E33"/>
    <w:rsid w:val="00B20ED9"/>
    <w:rsid w:val="00B20F6E"/>
    <w:rsid w:val="00B218FC"/>
    <w:rsid w:val="00B221ED"/>
    <w:rsid w:val="00B238A0"/>
    <w:rsid w:val="00B25F96"/>
    <w:rsid w:val="00B277C7"/>
    <w:rsid w:val="00B320FA"/>
    <w:rsid w:val="00B34258"/>
    <w:rsid w:val="00B3637F"/>
    <w:rsid w:val="00B36D9F"/>
    <w:rsid w:val="00B375D7"/>
    <w:rsid w:val="00B376B4"/>
    <w:rsid w:val="00B37C46"/>
    <w:rsid w:val="00B41D6C"/>
    <w:rsid w:val="00B4212F"/>
    <w:rsid w:val="00B43667"/>
    <w:rsid w:val="00B44827"/>
    <w:rsid w:val="00B52930"/>
    <w:rsid w:val="00B537A7"/>
    <w:rsid w:val="00B54728"/>
    <w:rsid w:val="00B551FC"/>
    <w:rsid w:val="00B57E54"/>
    <w:rsid w:val="00B57FFD"/>
    <w:rsid w:val="00B60C9E"/>
    <w:rsid w:val="00B61F49"/>
    <w:rsid w:val="00B62BC1"/>
    <w:rsid w:val="00B63539"/>
    <w:rsid w:val="00B64D04"/>
    <w:rsid w:val="00B67245"/>
    <w:rsid w:val="00B70AF3"/>
    <w:rsid w:val="00B7226C"/>
    <w:rsid w:val="00B75C9C"/>
    <w:rsid w:val="00B75DDE"/>
    <w:rsid w:val="00B75EFC"/>
    <w:rsid w:val="00B763B3"/>
    <w:rsid w:val="00B76F19"/>
    <w:rsid w:val="00B82883"/>
    <w:rsid w:val="00B82FE9"/>
    <w:rsid w:val="00B83C23"/>
    <w:rsid w:val="00B84461"/>
    <w:rsid w:val="00B84EA3"/>
    <w:rsid w:val="00B86232"/>
    <w:rsid w:val="00B90437"/>
    <w:rsid w:val="00B92F98"/>
    <w:rsid w:val="00B94ADF"/>
    <w:rsid w:val="00B97216"/>
    <w:rsid w:val="00BA280A"/>
    <w:rsid w:val="00BA2983"/>
    <w:rsid w:val="00BA2D5B"/>
    <w:rsid w:val="00BA40C2"/>
    <w:rsid w:val="00BA63D0"/>
    <w:rsid w:val="00BA6D61"/>
    <w:rsid w:val="00BA7F2D"/>
    <w:rsid w:val="00BB0EEE"/>
    <w:rsid w:val="00BB2869"/>
    <w:rsid w:val="00BB475B"/>
    <w:rsid w:val="00BB79EE"/>
    <w:rsid w:val="00BB7C96"/>
    <w:rsid w:val="00BC4BE4"/>
    <w:rsid w:val="00BC56B3"/>
    <w:rsid w:val="00BC76BA"/>
    <w:rsid w:val="00BD1B3D"/>
    <w:rsid w:val="00BE13CD"/>
    <w:rsid w:val="00BE1A1A"/>
    <w:rsid w:val="00BE5D59"/>
    <w:rsid w:val="00BE7A32"/>
    <w:rsid w:val="00BF0074"/>
    <w:rsid w:val="00BF0587"/>
    <w:rsid w:val="00BF09A4"/>
    <w:rsid w:val="00BF1384"/>
    <w:rsid w:val="00BF3216"/>
    <w:rsid w:val="00BF5BE6"/>
    <w:rsid w:val="00C029DB"/>
    <w:rsid w:val="00C0517F"/>
    <w:rsid w:val="00C057F9"/>
    <w:rsid w:val="00C073F9"/>
    <w:rsid w:val="00C10302"/>
    <w:rsid w:val="00C10855"/>
    <w:rsid w:val="00C10B56"/>
    <w:rsid w:val="00C11E95"/>
    <w:rsid w:val="00C12DE4"/>
    <w:rsid w:val="00C12FD9"/>
    <w:rsid w:val="00C160D9"/>
    <w:rsid w:val="00C21537"/>
    <w:rsid w:val="00C21637"/>
    <w:rsid w:val="00C23780"/>
    <w:rsid w:val="00C245B6"/>
    <w:rsid w:val="00C245E8"/>
    <w:rsid w:val="00C27D77"/>
    <w:rsid w:val="00C30FC5"/>
    <w:rsid w:val="00C31475"/>
    <w:rsid w:val="00C3185A"/>
    <w:rsid w:val="00C32ACF"/>
    <w:rsid w:val="00C32AE3"/>
    <w:rsid w:val="00C3727F"/>
    <w:rsid w:val="00C37B93"/>
    <w:rsid w:val="00C44926"/>
    <w:rsid w:val="00C463B3"/>
    <w:rsid w:val="00C47AA1"/>
    <w:rsid w:val="00C47AC3"/>
    <w:rsid w:val="00C512A9"/>
    <w:rsid w:val="00C52E76"/>
    <w:rsid w:val="00C561CB"/>
    <w:rsid w:val="00C60E43"/>
    <w:rsid w:val="00C619DC"/>
    <w:rsid w:val="00C62B3E"/>
    <w:rsid w:val="00C63DB4"/>
    <w:rsid w:val="00C63E18"/>
    <w:rsid w:val="00C64DC9"/>
    <w:rsid w:val="00C65E08"/>
    <w:rsid w:val="00C66D92"/>
    <w:rsid w:val="00C673FB"/>
    <w:rsid w:val="00C707AA"/>
    <w:rsid w:val="00C72DD9"/>
    <w:rsid w:val="00C77D47"/>
    <w:rsid w:val="00C836ED"/>
    <w:rsid w:val="00C85642"/>
    <w:rsid w:val="00C922DD"/>
    <w:rsid w:val="00C92632"/>
    <w:rsid w:val="00C93561"/>
    <w:rsid w:val="00C93A2D"/>
    <w:rsid w:val="00C943F7"/>
    <w:rsid w:val="00C967E6"/>
    <w:rsid w:val="00C970C5"/>
    <w:rsid w:val="00CA0FF6"/>
    <w:rsid w:val="00CA4327"/>
    <w:rsid w:val="00CA48A7"/>
    <w:rsid w:val="00CA5E71"/>
    <w:rsid w:val="00CA6DFD"/>
    <w:rsid w:val="00CA6F13"/>
    <w:rsid w:val="00CB4458"/>
    <w:rsid w:val="00CB4B6A"/>
    <w:rsid w:val="00CB6957"/>
    <w:rsid w:val="00CB78C8"/>
    <w:rsid w:val="00CC179D"/>
    <w:rsid w:val="00CC2430"/>
    <w:rsid w:val="00CC3364"/>
    <w:rsid w:val="00CC34AB"/>
    <w:rsid w:val="00CC4D88"/>
    <w:rsid w:val="00CC6737"/>
    <w:rsid w:val="00CC7C12"/>
    <w:rsid w:val="00CD3713"/>
    <w:rsid w:val="00CD3D4B"/>
    <w:rsid w:val="00CE1FE8"/>
    <w:rsid w:val="00CE2862"/>
    <w:rsid w:val="00CE3220"/>
    <w:rsid w:val="00CE47DC"/>
    <w:rsid w:val="00CE5507"/>
    <w:rsid w:val="00CE59BE"/>
    <w:rsid w:val="00CE649A"/>
    <w:rsid w:val="00CE64A6"/>
    <w:rsid w:val="00CF1F4F"/>
    <w:rsid w:val="00CF24C2"/>
    <w:rsid w:val="00CF2EEC"/>
    <w:rsid w:val="00CF32BA"/>
    <w:rsid w:val="00CF3412"/>
    <w:rsid w:val="00CF49F2"/>
    <w:rsid w:val="00CF4CF4"/>
    <w:rsid w:val="00CF4FB8"/>
    <w:rsid w:val="00CF7573"/>
    <w:rsid w:val="00CF7F21"/>
    <w:rsid w:val="00D0185A"/>
    <w:rsid w:val="00D02A8D"/>
    <w:rsid w:val="00D037E7"/>
    <w:rsid w:val="00D043E0"/>
    <w:rsid w:val="00D0460F"/>
    <w:rsid w:val="00D06E33"/>
    <w:rsid w:val="00D10576"/>
    <w:rsid w:val="00D12D57"/>
    <w:rsid w:val="00D15386"/>
    <w:rsid w:val="00D17E96"/>
    <w:rsid w:val="00D202B2"/>
    <w:rsid w:val="00D20D2C"/>
    <w:rsid w:val="00D21970"/>
    <w:rsid w:val="00D23D75"/>
    <w:rsid w:val="00D314A4"/>
    <w:rsid w:val="00D31C54"/>
    <w:rsid w:val="00D322AE"/>
    <w:rsid w:val="00D33234"/>
    <w:rsid w:val="00D3404F"/>
    <w:rsid w:val="00D340DE"/>
    <w:rsid w:val="00D349EC"/>
    <w:rsid w:val="00D35A2A"/>
    <w:rsid w:val="00D37038"/>
    <w:rsid w:val="00D3764C"/>
    <w:rsid w:val="00D434A9"/>
    <w:rsid w:val="00D43916"/>
    <w:rsid w:val="00D44A82"/>
    <w:rsid w:val="00D45D4F"/>
    <w:rsid w:val="00D460EC"/>
    <w:rsid w:val="00D477B1"/>
    <w:rsid w:val="00D53713"/>
    <w:rsid w:val="00D53789"/>
    <w:rsid w:val="00D5550C"/>
    <w:rsid w:val="00D563B5"/>
    <w:rsid w:val="00D56542"/>
    <w:rsid w:val="00D56DF4"/>
    <w:rsid w:val="00D57A9D"/>
    <w:rsid w:val="00D60626"/>
    <w:rsid w:val="00D6090D"/>
    <w:rsid w:val="00D60987"/>
    <w:rsid w:val="00D62497"/>
    <w:rsid w:val="00D641D9"/>
    <w:rsid w:val="00D64595"/>
    <w:rsid w:val="00D6576D"/>
    <w:rsid w:val="00D70D5A"/>
    <w:rsid w:val="00D72363"/>
    <w:rsid w:val="00D72778"/>
    <w:rsid w:val="00D74652"/>
    <w:rsid w:val="00D74AC8"/>
    <w:rsid w:val="00D75AA4"/>
    <w:rsid w:val="00D77490"/>
    <w:rsid w:val="00D7797E"/>
    <w:rsid w:val="00D839A4"/>
    <w:rsid w:val="00D85955"/>
    <w:rsid w:val="00D91619"/>
    <w:rsid w:val="00D9239D"/>
    <w:rsid w:val="00D925FF"/>
    <w:rsid w:val="00D93131"/>
    <w:rsid w:val="00D96836"/>
    <w:rsid w:val="00D97DC2"/>
    <w:rsid w:val="00D97DE0"/>
    <w:rsid w:val="00DA1904"/>
    <w:rsid w:val="00DA2A92"/>
    <w:rsid w:val="00DA34C9"/>
    <w:rsid w:val="00DA3CE8"/>
    <w:rsid w:val="00DA4CE7"/>
    <w:rsid w:val="00DA57B3"/>
    <w:rsid w:val="00DA6E4F"/>
    <w:rsid w:val="00DA7229"/>
    <w:rsid w:val="00DB1550"/>
    <w:rsid w:val="00DB26D8"/>
    <w:rsid w:val="00DB33B4"/>
    <w:rsid w:val="00DB483F"/>
    <w:rsid w:val="00DB56B7"/>
    <w:rsid w:val="00DB5D81"/>
    <w:rsid w:val="00DB6122"/>
    <w:rsid w:val="00DB645F"/>
    <w:rsid w:val="00DB7515"/>
    <w:rsid w:val="00DB7623"/>
    <w:rsid w:val="00DC407F"/>
    <w:rsid w:val="00DC4448"/>
    <w:rsid w:val="00DC5511"/>
    <w:rsid w:val="00DC6474"/>
    <w:rsid w:val="00DC6DE7"/>
    <w:rsid w:val="00DD134D"/>
    <w:rsid w:val="00DD2790"/>
    <w:rsid w:val="00DD4201"/>
    <w:rsid w:val="00DD593F"/>
    <w:rsid w:val="00DD6B80"/>
    <w:rsid w:val="00DD746E"/>
    <w:rsid w:val="00DD7485"/>
    <w:rsid w:val="00DE0647"/>
    <w:rsid w:val="00DE2081"/>
    <w:rsid w:val="00DE6DDF"/>
    <w:rsid w:val="00DF4F59"/>
    <w:rsid w:val="00DF501A"/>
    <w:rsid w:val="00DF7FCA"/>
    <w:rsid w:val="00E00843"/>
    <w:rsid w:val="00E00AEC"/>
    <w:rsid w:val="00E02809"/>
    <w:rsid w:val="00E06A8B"/>
    <w:rsid w:val="00E1041D"/>
    <w:rsid w:val="00E13060"/>
    <w:rsid w:val="00E164B0"/>
    <w:rsid w:val="00E16CFA"/>
    <w:rsid w:val="00E171E0"/>
    <w:rsid w:val="00E2064A"/>
    <w:rsid w:val="00E20A40"/>
    <w:rsid w:val="00E21B79"/>
    <w:rsid w:val="00E22622"/>
    <w:rsid w:val="00E250C5"/>
    <w:rsid w:val="00E25519"/>
    <w:rsid w:val="00E257ED"/>
    <w:rsid w:val="00E26ADE"/>
    <w:rsid w:val="00E26B80"/>
    <w:rsid w:val="00E27F46"/>
    <w:rsid w:val="00E307DD"/>
    <w:rsid w:val="00E3153B"/>
    <w:rsid w:val="00E31BB9"/>
    <w:rsid w:val="00E378AB"/>
    <w:rsid w:val="00E4074D"/>
    <w:rsid w:val="00E40ED3"/>
    <w:rsid w:val="00E42A11"/>
    <w:rsid w:val="00E43260"/>
    <w:rsid w:val="00E435C8"/>
    <w:rsid w:val="00E448D2"/>
    <w:rsid w:val="00E44BA3"/>
    <w:rsid w:val="00E458C6"/>
    <w:rsid w:val="00E46EB2"/>
    <w:rsid w:val="00E47EA2"/>
    <w:rsid w:val="00E52759"/>
    <w:rsid w:val="00E52E7A"/>
    <w:rsid w:val="00E5719C"/>
    <w:rsid w:val="00E574D2"/>
    <w:rsid w:val="00E57565"/>
    <w:rsid w:val="00E57979"/>
    <w:rsid w:val="00E615FB"/>
    <w:rsid w:val="00E61B1B"/>
    <w:rsid w:val="00E62BEF"/>
    <w:rsid w:val="00E63EC1"/>
    <w:rsid w:val="00E64CF0"/>
    <w:rsid w:val="00E65F48"/>
    <w:rsid w:val="00E67698"/>
    <w:rsid w:val="00E67B3B"/>
    <w:rsid w:val="00E700A1"/>
    <w:rsid w:val="00E70D8D"/>
    <w:rsid w:val="00E72F29"/>
    <w:rsid w:val="00E72F61"/>
    <w:rsid w:val="00E81E95"/>
    <w:rsid w:val="00E821DC"/>
    <w:rsid w:val="00E8279A"/>
    <w:rsid w:val="00E84A09"/>
    <w:rsid w:val="00E875BD"/>
    <w:rsid w:val="00E9016A"/>
    <w:rsid w:val="00E90D07"/>
    <w:rsid w:val="00E90D10"/>
    <w:rsid w:val="00E91588"/>
    <w:rsid w:val="00E93DAE"/>
    <w:rsid w:val="00E94594"/>
    <w:rsid w:val="00E94FBA"/>
    <w:rsid w:val="00E95A81"/>
    <w:rsid w:val="00E97607"/>
    <w:rsid w:val="00E97E8D"/>
    <w:rsid w:val="00EA3B93"/>
    <w:rsid w:val="00EA3EE5"/>
    <w:rsid w:val="00EA46E8"/>
    <w:rsid w:val="00EA4C1D"/>
    <w:rsid w:val="00EA5F70"/>
    <w:rsid w:val="00EA67AD"/>
    <w:rsid w:val="00EA67FA"/>
    <w:rsid w:val="00EA785B"/>
    <w:rsid w:val="00EB186B"/>
    <w:rsid w:val="00EB28AC"/>
    <w:rsid w:val="00EB38E9"/>
    <w:rsid w:val="00EB62DD"/>
    <w:rsid w:val="00EB755A"/>
    <w:rsid w:val="00EC24EB"/>
    <w:rsid w:val="00EC4835"/>
    <w:rsid w:val="00EC4F95"/>
    <w:rsid w:val="00EC6A83"/>
    <w:rsid w:val="00EC72AC"/>
    <w:rsid w:val="00EC780B"/>
    <w:rsid w:val="00EC7A73"/>
    <w:rsid w:val="00ED00B3"/>
    <w:rsid w:val="00ED1556"/>
    <w:rsid w:val="00ED4D28"/>
    <w:rsid w:val="00ED6664"/>
    <w:rsid w:val="00ED6EBC"/>
    <w:rsid w:val="00ED7643"/>
    <w:rsid w:val="00EE1467"/>
    <w:rsid w:val="00EE1533"/>
    <w:rsid w:val="00EE3211"/>
    <w:rsid w:val="00EE407E"/>
    <w:rsid w:val="00EE56EA"/>
    <w:rsid w:val="00EE73BE"/>
    <w:rsid w:val="00EE73DF"/>
    <w:rsid w:val="00EF2694"/>
    <w:rsid w:val="00EF2ABB"/>
    <w:rsid w:val="00EF2DEB"/>
    <w:rsid w:val="00EF405A"/>
    <w:rsid w:val="00EF5748"/>
    <w:rsid w:val="00EF62E4"/>
    <w:rsid w:val="00EF6C9B"/>
    <w:rsid w:val="00F04BBF"/>
    <w:rsid w:val="00F04DF3"/>
    <w:rsid w:val="00F04F77"/>
    <w:rsid w:val="00F06552"/>
    <w:rsid w:val="00F10B14"/>
    <w:rsid w:val="00F10FD1"/>
    <w:rsid w:val="00F115EC"/>
    <w:rsid w:val="00F123BD"/>
    <w:rsid w:val="00F13257"/>
    <w:rsid w:val="00F1650F"/>
    <w:rsid w:val="00F17D38"/>
    <w:rsid w:val="00F207F8"/>
    <w:rsid w:val="00F20CD0"/>
    <w:rsid w:val="00F20CF4"/>
    <w:rsid w:val="00F21EDF"/>
    <w:rsid w:val="00F21FB7"/>
    <w:rsid w:val="00F21FF7"/>
    <w:rsid w:val="00F237C3"/>
    <w:rsid w:val="00F27C20"/>
    <w:rsid w:val="00F27C54"/>
    <w:rsid w:val="00F3295E"/>
    <w:rsid w:val="00F35A87"/>
    <w:rsid w:val="00F37C9A"/>
    <w:rsid w:val="00F403B6"/>
    <w:rsid w:val="00F40EB1"/>
    <w:rsid w:val="00F42A68"/>
    <w:rsid w:val="00F430AF"/>
    <w:rsid w:val="00F446DF"/>
    <w:rsid w:val="00F45074"/>
    <w:rsid w:val="00F4675B"/>
    <w:rsid w:val="00F46FBD"/>
    <w:rsid w:val="00F471E4"/>
    <w:rsid w:val="00F47B12"/>
    <w:rsid w:val="00F47ECE"/>
    <w:rsid w:val="00F524F0"/>
    <w:rsid w:val="00F56E5F"/>
    <w:rsid w:val="00F5785C"/>
    <w:rsid w:val="00F57EEA"/>
    <w:rsid w:val="00F57F6E"/>
    <w:rsid w:val="00F61515"/>
    <w:rsid w:val="00F62954"/>
    <w:rsid w:val="00F6346F"/>
    <w:rsid w:val="00F636D4"/>
    <w:rsid w:val="00F67F19"/>
    <w:rsid w:val="00F70566"/>
    <w:rsid w:val="00F715D4"/>
    <w:rsid w:val="00F72B00"/>
    <w:rsid w:val="00F72B26"/>
    <w:rsid w:val="00F7499F"/>
    <w:rsid w:val="00F74DFB"/>
    <w:rsid w:val="00F757C6"/>
    <w:rsid w:val="00F75D66"/>
    <w:rsid w:val="00F778CB"/>
    <w:rsid w:val="00F81214"/>
    <w:rsid w:val="00F8417A"/>
    <w:rsid w:val="00F84549"/>
    <w:rsid w:val="00F8589F"/>
    <w:rsid w:val="00F85CFA"/>
    <w:rsid w:val="00F8707A"/>
    <w:rsid w:val="00F90573"/>
    <w:rsid w:val="00F925B6"/>
    <w:rsid w:val="00F926CD"/>
    <w:rsid w:val="00F927EC"/>
    <w:rsid w:val="00F9350F"/>
    <w:rsid w:val="00F93B4A"/>
    <w:rsid w:val="00F94935"/>
    <w:rsid w:val="00F94FAF"/>
    <w:rsid w:val="00F954C3"/>
    <w:rsid w:val="00F95BCA"/>
    <w:rsid w:val="00FA2B56"/>
    <w:rsid w:val="00FA457A"/>
    <w:rsid w:val="00FA5121"/>
    <w:rsid w:val="00FA57AF"/>
    <w:rsid w:val="00FA6FA5"/>
    <w:rsid w:val="00FB106E"/>
    <w:rsid w:val="00FB1400"/>
    <w:rsid w:val="00FB2E53"/>
    <w:rsid w:val="00FB3918"/>
    <w:rsid w:val="00FB3959"/>
    <w:rsid w:val="00FB4CEC"/>
    <w:rsid w:val="00FB7187"/>
    <w:rsid w:val="00FB7D7A"/>
    <w:rsid w:val="00FC3DEB"/>
    <w:rsid w:val="00FC46A0"/>
    <w:rsid w:val="00FC46AE"/>
    <w:rsid w:val="00FC47C1"/>
    <w:rsid w:val="00FC5329"/>
    <w:rsid w:val="00FC6848"/>
    <w:rsid w:val="00FD0AF9"/>
    <w:rsid w:val="00FD0CB1"/>
    <w:rsid w:val="00FD576A"/>
    <w:rsid w:val="00FE0916"/>
    <w:rsid w:val="00FE0F7F"/>
    <w:rsid w:val="00FE1775"/>
    <w:rsid w:val="00FE1A18"/>
    <w:rsid w:val="00FE60F4"/>
    <w:rsid w:val="00FE61BB"/>
    <w:rsid w:val="00FE7436"/>
    <w:rsid w:val="00FF0265"/>
    <w:rsid w:val="00FF1700"/>
    <w:rsid w:val="00FF2F92"/>
    <w:rsid w:val="00FF5EFA"/>
    <w:rsid w:val="00FF6554"/>
    <w:rsid w:val="00FF7741"/>
    <w:rsid w:val="04E7435B"/>
    <w:rsid w:val="0C4AB661"/>
    <w:rsid w:val="0CEAC35A"/>
    <w:rsid w:val="0D0182BB"/>
    <w:rsid w:val="1BBCFC43"/>
    <w:rsid w:val="1C9BB83E"/>
    <w:rsid w:val="1D73EDAA"/>
    <w:rsid w:val="43D75671"/>
    <w:rsid w:val="487C98C7"/>
    <w:rsid w:val="515FEBD2"/>
    <w:rsid w:val="587ED806"/>
    <w:rsid w:val="638EC5F2"/>
    <w:rsid w:val="6B555F6B"/>
    <w:rsid w:val="78C088CA"/>
    <w:rsid w:val="7A49F8F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7AF427"/>
  <w15:chartTrackingRefBased/>
  <w15:docId w15:val="{F02B65BF-70A4-4770-812D-30BAC152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FB7"/>
    <w:rPr>
      <w:rFonts w:ascii="Arial" w:hAnsi="Arial"/>
      <w:szCs w:val="24"/>
      <w:lang w:eastAsia="en-US"/>
    </w:rPr>
  </w:style>
  <w:style w:type="paragraph" w:styleId="Overskrift1">
    <w:name w:val="heading 1"/>
    <w:basedOn w:val="Normal"/>
    <w:next w:val="Normal"/>
    <w:link w:val="Overskrift1Tegn"/>
    <w:uiPriority w:val="99"/>
    <w:qFormat/>
    <w:rsid w:val="00F21FB7"/>
    <w:pPr>
      <w:outlineLvl w:val="0"/>
    </w:pPr>
    <w:rPr>
      <w:rFonts w:ascii="Cambria" w:hAnsi="Cambria"/>
      <w:b/>
      <w:bCs/>
      <w:kern w:val="32"/>
      <w:sz w:val="32"/>
      <w:szCs w:val="32"/>
    </w:rPr>
  </w:style>
  <w:style w:type="paragraph" w:styleId="Overskrift2">
    <w:name w:val="heading 2"/>
    <w:basedOn w:val="Normal"/>
    <w:next w:val="Normal"/>
    <w:link w:val="Overskrift2Tegn"/>
    <w:uiPriority w:val="99"/>
    <w:qFormat/>
    <w:rsid w:val="00F21FB7"/>
    <w:pPr>
      <w:outlineLvl w:val="1"/>
    </w:pPr>
    <w:rPr>
      <w:rFonts w:ascii="Cambria" w:hAnsi="Cambria"/>
      <w:b/>
      <w:bCs/>
      <w:i/>
      <w:iCs/>
      <w:sz w:val="28"/>
      <w:szCs w:val="28"/>
    </w:rPr>
  </w:style>
  <w:style w:type="paragraph" w:styleId="Overskrift3">
    <w:name w:val="heading 3"/>
    <w:basedOn w:val="Normal"/>
    <w:next w:val="Normal"/>
    <w:link w:val="Overskrift3Tegn"/>
    <w:uiPriority w:val="99"/>
    <w:qFormat/>
    <w:rsid w:val="00F21FB7"/>
    <w:pPr>
      <w:outlineLvl w:val="2"/>
    </w:pPr>
    <w:rPr>
      <w:rFonts w:ascii="Cambria" w:hAnsi="Cambria"/>
      <w:b/>
      <w:bCs/>
      <w:sz w:val="26"/>
      <w:szCs w:val="26"/>
    </w:rPr>
  </w:style>
  <w:style w:type="paragraph" w:styleId="Overskrift4">
    <w:name w:val="heading 4"/>
    <w:basedOn w:val="Normal"/>
    <w:next w:val="Normal"/>
    <w:link w:val="Overskrift4Tegn"/>
    <w:uiPriority w:val="99"/>
    <w:qFormat/>
    <w:rsid w:val="00F21FB7"/>
    <w:pPr>
      <w:outlineLvl w:val="3"/>
    </w:pPr>
    <w:rPr>
      <w:rFonts w:ascii="Calibri" w:hAnsi="Calibri"/>
      <w:b/>
      <w:bCs/>
      <w:sz w:val="28"/>
      <w:szCs w:val="28"/>
    </w:rPr>
  </w:style>
  <w:style w:type="paragraph" w:styleId="Overskrift5">
    <w:name w:val="heading 5"/>
    <w:basedOn w:val="Normal"/>
    <w:next w:val="Normal"/>
    <w:link w:val="Overskrift5Tegn"/>
    <w:uiPriority w:val="99"/>
    <w:qFormat/>
    <w:rsid w:val="00F21FB7"/>
    <w:pPr>
      <w:outlineLvl w:val="4"/>
    </w:pPr>
    <w:rPr>
      <w:rFonts w:ascii="Calibri" w:hAnsi="Calibri"/>
      <w:b/>
      <w:bCs/>
      <w:i/>
      <w:iCs/>
      <w:sz w:val="26"/>
      <w:szCs w:val="26"/>
    </w:rPr>
  </w:style>
  <w:style w:type="paragraph" w:styleId="Overskrift6">
    <w:name w:val="heading 6"/>
    <w:basedOn w:val="Normal"/>
    <w:next w:val="Normal"/>
    <w:link w:val="Overskrift6Tegn"/>
    <w:uiPriority w:val="99"/>
    <w:qFormat/>
    <w:rsid w:val="00F21FB7"/>
    <w:pPr>
      <w:outlineLvl w:val="5"/>
    </w:pPr>
    <w:rPr>
      <w:rFonts w:ascii="Calibri" w:hAnsi="Calibri"/>
      <w:b/>
      <w:bCs/>
      <w:szCs w:val="20"/>
    </w:rPr>
  </w:style>
  <w:style w:type="paragraph" w:styleId="Overskrift7">
    <w:name w:val="heading 7"/>
    <w:basedOn w:val="Normal"/>
    <w:next w:val="Normal"/>
    <w:link w:val="Overskrift7Tegn"/>
    <w:uiPriority w:val="99"/>
    <w:qFormat/>
    <w:rsid w:val="00F21FB7"/>
    <w:pPr>
      <w:outlineLvl w:val="6"/>
    </w:pPr>
    <w:rPr>
      <w:rFonts w:ascii="Calibri" w:hAnsi="Calibri"/>
      <w:sz w:val="24"/>
    </w:rPr>
  </w:style>
  <w:style w:type="paragraph" w:styleId="Overskrift8">
    <w:name w:val="heading 8"/>
    <w:basedOn w:val="Normal"/>
    <w:next w:val="Normal"/>
    <w:link w:val="Overskrift8Tegn"/>
    <w:uiPriority w:val="99"/>
    <w:qFormat/>
    <w:rsid w:val="00F21FB7"/>
    <w:pPr>
      <w:outlineLvl w:val="7"/>
    </w:pPr>
    <w:rPr>
      <w:rFonts w:ascii="Calibri" w:hAnsi="Calibri"/>
      <w:i/>
      <w:iCs/>
      <w:sz w:val="24"/>
    </w:rPr>
  </w:style>
  <w:style w:type="paragraph" w:styleId="Overskrift9">
    <w:name w:val="heading 9"/>
    <w:basedOn w:val="Normal"/>
    <w:next w:val="Normal"/>
    <w:link w:val="Overskrift9Tegn"/>
    <w:uiPriority w:val="99"/>
    <w:qFormat/>
    <w:rsid w:val="00F21FB7"/>
    <w:pPr>
      <w:outlineLvl w:val="8"/>
    </w:pPr>
    <w:rPr>
      <w:rFonts w:ascii="Cambria" w:hAnsi="Cambria"/>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9"/>
    <w:locked/>
    <w:rsid w:val="00965559"/>
    <w:rPr>
      <w:rFonts w:ascii="Cambria" w:hAnsi="Cambria" w:cs="Times New Roman"/>
      <w:b/>
      <w:bCs/>
      <w:kern w:val="32"/>
      <w:sz w:val="32"/>
      <w:szCs w:val="32"/>
      <w:lang w:val="en-GB" w:eastAsia="en-US"/>
    </w:rPr>
  </w:style>
  <w:style w:type="character" w:customStyle="1" w:styleId="Overskrift2Tegn">
    <w:name w:val="Overskrift 2 Tegn"/>
    <w:link w:val="Overskrift2"/>
    <w:uiPriority w:val="99"/>
    <w:semiHidden/>
    <w:locked/>
    <w:rsid w:val="00965559"/>
    <w:rPr>
      <w:rFonts w:ascii="Cambria" w:hAnsi="Cambria" w:cs="Times New Roman"/>
      <w:b/>
      <w:bCs/>
      <w:i/>
      <w:iCs/>
      <w:sz w:val="28"/>
      <w:szCs w:val="28"/>
      <w:lang w:val="en-GB" w:eastAsia="en-US"/>
    </w:rPr>
  </w:style>
  <w:style w:type="character" w:customStyle="1" w:styleId="Overskrift3Tegn">
    <w:name w:val="Overskrift 3 Tegn"/>
    <w:link w:val="Overskrift3"/>
    <w:uiPriority w:val="99"/>
    <w:semiHidden/>
    <w:locked/>
    <w:rsid w:val="00965559"/>
    <w:rPr>
      <w:rFonts w:ascii="Cambria" w:hAnsi="Cambria" w:cs="Times New Roman"/>
      <w:b/>
      <w:bCs/>
      <w:sz w:val="26"/>
      <w:szCs w:val="26"/>
      <w:lang w:val="en-GB" w:eastAsia="en-US"/>
    </w:rPr>
  </w:style>
  <w:style w:type="character" w:customStyle="1" w:styleId="Overskrift4Tegn">
    <w:name w:val="Overskrift 4 Tegn"/>
    <w:link w:val="Overskrift4"/>
    <w:uiPriority w:val="99"/>
    <w:semiHidden/>
    <w:locked/>
    <w:rsid w:val="00965559"/>
    <w:rPr>
      <w:rFonts w:ascii="Calibri" w:hAnsi="Calibri" w:cs="Times New Roman"/>
      <w:b/>
      <w:bCs/>
      <w:sz w:val="28"/>
      <w:szCs w:val="28"/>
      <w:lang w:val="en-GB" w:eastAsia="en-US"/>
    </w:rPr>
  </w:style>
  <w:style w:type="character" w:customStyle="1" w:styleId="Overskrift5Tegn">
    <w:name w:val="Overskrift 5 Tegn"/>
    <w:link w:val="Overskrift5"/>
    <w:uiPriority w:val="99"/>
    <w:semiHidden/>
    <w:locked/>
    <w:rsid w:val="00965559"/>
    <w:rPr>
      <w:rFonts w:ascii="Calibri" w:hAnsi="Calibri" w:cs="Times New Roman"/>
      <w:b/>
      <w:bCs/>
      <w:i/>
      <w:iCs/>
      <w:sz w:val="26"/>
      <w:szCs w:val="26"/>
      <w:lang w:val="en-GB" w:eastAsia="en-US"/>
    </w:rPr>
  </w:style>
  <w:style w:type="character" w:customStyle="1" w:styleId="Overskrift6Tegn">
    <w:name w:val="Overskrift 6 Tegn"/>
    <w:link w:val="Overskrift6"/>
    <w:uiPriority w:val="99"/>
    <w:semiHidden/>
    <w:locked/>
    <w:rsid w:val="00965559"/>
    <w:rPr>
      <w:rFonts w:ascii="Calibri" w:hAnsi="Calibri" w:cs="Times New Roman"/>
      <w:b/>
      <w:bCs/>
      <w:lang w:val="en-GB" w:eastAsia="en-US"/>
    </w:rPr>
  </w:style>
  <w:style w:type="character" w:customStyle="1" w:styleId="Overskrift7Tegn">
    <w:name w:val="Overskrift 7 Tegn"/>
    <w:link w:val="Overskrift7"/>
    <w:uiPriority w:val="99"/>
    <w:semiHidden/>
    <w:locked/>
    <w:rsid w:val="00965559"/>
    <w:rPr>
      <w:rFonts w:ascii="Calibri" w:hAnsi="Calibri" w:cs="Times New Roman"/>
      <w:sz w:val="24"/>
      <w:szCs w:val="24"/>
      <w:lang w:val="en-GB" w:eastAsia="en-US"/>
    </w:rPr>
  </w:style>
  <w:style w:type="character" w:customStyle="1" w:styleId="Overskrift8Tegn">
    <w:name w:val="Overskrift 8 Tegn"/>
    <w:link w:val="Overskrift8"/>
    <w:uiPriority w:val="99"/>
    <w:semiHidden/>
    <w:locked/>
    <w:rsid w:val="00965559"/>
    <w:rPr>
      <w:rFonts w:ascii="Calibri" w:hAnsi="Calibri" w:cs="Times New Roman"/>
      <w:i/>
      <w:iCs/>
      <w:sz w:val="24"/>
      <w:szCs w:val="24"/>
      <w:lang w:val="en-GB" w:eastAsia="en-US"/>
    </w:rPr>
  </w:style>
  <w:style w:type="character" w:customStyle="1" w:styleId="Overskrift9Tegn">
    <w:name w:val="Overskrift 9 Tegn"/>
    <w:link w:val="Overskrift9"/>
    <w:uiPriority w:val="99"/>
    <w:semiHidden/>
    <w:locked/>
    <w:rsid w:val="00965559"/>
    <w:rPr>
      <w:rFonts w:ascii="Cambria" w:hAnsi="Cambria" w:cs="Times New Roman"/>
      <w:lang w:val="en-GB" w:eastAsia="en-US"/>
    </w:rPr>
  </w:style>
  <w:style w:type="paragraph" w:styleId="INNH1">
    <w:name w:val="toc 1"/>
    <w:basedOn w:val="Normal"/>
    <w:next w:val="Body"/>
    <w:uiPriority w:val="99"/>
    <w:semiHidden/>
    <w:rsid w:val="00F21FB7"/>
    <w:pPr>
      <w:spacing w:before="280" w:after="140" w:line="290" w:lineRule="auto"/>
    </w:pPr>
    <w:rPr>
      <w:kern w:val="20"/>
    </w:rPr>
  </w:style>
  <w:style w:type="paragraph" w:customStyle="1" w:styleId="Body">
    <w:name w:val="Body"/>
    <w:basedOn w:val="Normal"/>
    <w:link w:val="BodyChar"/>
    <w:uiPriority w:val="99"/>
    <w:rsid w:val="00F21FB7"/>
    <w:pPr>
      <w:spacing w:after="140" w:line="290" w:lineRule="auto"/>
      <w:jc w:val="both"/>
    </w:pPr>
    <w:rPr>
      <w:kern w:val="20"/>
      <w:sz w:val="24"/>
      <w:szCs w:val="20"/>
    </w:rPr>
  </w:style>
  <w:style w:type="paragraph" w:customStyle="1" w:styleId="Body1">
    <w:name w:val="Body 1"/>
    <w:basedOn w:val="Normal"/>
    <w:uiPriority w:val="99"/>
    <w:rsid w:val="00F21FB7"/>
    <w:pPr>
      <w:spacing w:after="140" w:line="290" w:lineRule="auto"/>
      <w:ind w:left="567"/>
      <w:jc w:val="both"/>
    </w:pPr>
    <w:rPr>
      <w:kern w:val="20"/>
    </w:rPr>
  </w:style>
  <w:style w:type="paragraph" w:customStyle="1" w:styleId="Body2">
    <w:name w:val="Body 2"/>
    <w:basedOn w:val="Normal"/>
    <w:uiPriority w:val="99"/>
    <w:rsid w:val="00F21FB7"/>
    <w:pPr>
      <w:spacing w:after="140" w:line="290" w:lineRule="auto"/>
      <w:ind w:left="1247"/>
      <w:jc w:val="both"/>
    </w:pPr>
    <w:rPr>
      <w:kern w:val="20"/>
    </w:rPr>
  </w:style>
  <w:style w:type="paragraph" w:customStyle="1" w:styleId="Body3">
    <w:name w:val="Body 3"/>
    <w:basedOn w:val="Normal"/>
    <w:uiPriority w:val="99"/>
    <w:rsid w:val="00F21FB7"/>
    <w:pPr>
      <w:spacing w:after="140" w:line="290" w:lineRule="auto"/>
      <w:ind w:left="2041"/>
      <w:jc w:val="both"/>
    </w:pPr>
    <w:rPr>
      <w:kern w:val="20"/>
    </w:rPr>
  </w:style>
  <w:style w:type="paragraph" w:customStyle="1" w:styleId="Body4">
    <w:name w:val="Body 4"/>
    <w:basedOn w:val="Normal"/>
    <w:uiPriority w:val="99"/>
    <w:rsid w:val="00F21FB7"/>
    <w:pPr>
      <w:spacing w:after="140" w:line="290" w:lineRule="auto"/>
      <w:ind w:left="2722"/>
      <w:jc w:val="both"/>
    </w:pPr>
    <w:rPr>
      <w:kern w:val="20"/>
    </w:rPr>
  </w:style>
  <w:style w:type="paragraph" w:customStyle="1" w:styleId="Body5">
    <w:name w:val="Body 5"/>
    <w:basedOn w:val="Normal"/>
    <w:uiPriority w:val="99"/>
    <w:rsid w:val="00F21FB7"/>
    <w:pPr>
      <w:spacing w:after="140" w:line="290" w:lineRule="auto"/>
      <w:ind w:left="3289"/>
      <w:jc w:val="both"/>
    </w:pPr>
    <w:rPr>
      <w:kern w:val="20"/>
    </w:rPr>
  </w:style>
  <w:style w:type="paragraph" w:customStyle="1" w:styleId="Body6">
    <w:name w:val="Body 6"/>
    <w:basedOn w:val="Normal"/>
    <w:uiPriority w:val="99"/>
    <w:rsid w:val="00F21FB7"/>
    <w:pPr>
      <w:spacing w:after="140" w:line="290" w:lineRule="auto"/>
      <w:ind w:left="3969"/>
      <w:jc w:val="both"/>
    </w:pPr>
    <w:rPr>
      <w:kern w:val="20"/>
    </w:rPr>
  </w:style>
  <w:style w:type="paragraph" w:customStyle="1" w:styleId="Level1">
    <w:name w:val="Level 1"/>
    <w:basedOn w:val="Normal"/>
    <w:next w:val="Body1"/>
    <w:uiPriority w:val="99"/>
    <w:rsid w:val="00F21FB7"/>
    <w:pPr>
      <w:keepNext/>
      <w:numPr>
        <w:numId w:val="37"/>
      </w:numPr>
      <w:spacing w:before="280" w:after="140" w:line="290" w:lineRule="auto"/>
      <w:jc w:val="both"/>
      <w:outlineLvl w:val="0"/>
    </w:pPr>
    <w:rPr>
      <w:b/>
      <w:kern w:val="20"/>
      <w:sz w:val="22"/>
    </w:rPr>
  </w:style>
  <w:style w:type="paragraph" w:customStyle="1" w:styleId="Level2">
    <w:name w:val="Level 2"/>
    <w:basedOn w:val="Normal"/>
    <w:uiPriority w:val="99"/>
    <w:rsid w:val="00F21FB7"/>
    <w:pPr>
      <w:numPr>
        <w:ilvl w:val="1"/>
        <w:numId w:val="37"/>
      </w:numPr>
      <w:tabs>
        <w:tab w:val="clear" w:pos="2806"/>
        <w:tab w:val="num" w:pos="1531"/>
      </w:tabs>
      <w:spacing w:after="140" w:line="290" w:lineRule="auto"/>
      <w:ind w:left="1503"/>
      <w:jc w:val="both"/>
      <w:outlineLvl w:val="1"/>
    </w:pPr>
    <w:rPr>
      <w:kern w:val="20"/>
    </w:rPr>
  </w:style>
  <w:style w:type="paragraph" w:customStyle="1" w:styleId="Level3">
    <w:name w:val="Level 3"/>
    <w:basedOn w:val="Normal"/>
    <w:uiPriority w:val="99"/>
    <w:rsid w:val="00F21FB7"/>
    <w:pPr>
      <w:numPr>
        <w:ilvl w:val="2"/>
        <w:numId w:val="37"/>
      </w:numPr>
      <w:spacing w:after="140" w:line="290" w:lineRule="auto"/>
      <w:jc w:val="both"/>
      <w:outlineLvl w:val="2"/>
    </w:pPr>
    <w:rPr>
      <w:kern w:val="20"/>
    </w:rPr>
  </w:style>
  <w:style w:type="paragraph" w:customStyle="1" w:styleId="Level4">
    <w:name w:val="Level 4"/>
    <w:basedOn w:val="Normal"/>
    <w:uiPriority w:val="99"/>
    <w:rsid w:val="00F21FB7"/>
    <w:pPr>
      <w:numPr>
        <w:ilvl w:val="3"/>
        <w:numId w:val="37"/>
      </w:numPr>
      <w:spacing w:after="140" w:line="290" w:lineRule="auto"/>
      <w:jc w:val="both"/>
      <w:outlineLvl w:val="3"/>
    </w:pPr>
    <w:rPr>
      <w:kern w:val="20"/>
    </w:rPr>
  </w:style>
  <w:style w:type="paragraph" w:customStyle="1" w:styleId="Level5">
    <w:name w:val="Level 5"/>
    <w:basedOn w:val="Normal"/>
    <w:uiPriority w:val="99"/>
    <w:rsid w:val="00F21FB7"/>
    <w:pPr>
      <w:numPr>
        <w:ilvl w:val="4"/>
        <w:numId w:val="37"/>
      </w:numPr>
      <w:spacing w:after="140" w:line="290" w:lineRule="auto"/>
      <w:jc w:val="both"/>
      <w:outlineLvl w:val="4"/>
    </w:pPr>
    <w:rPr>
      <w:kern w:val="20"/>
    </w:rPr>
  </w:style>
  <w:style w:type="paragraph" w:customStyle="1" w:styleId="Level6">
    <w:name w:val="Level 6"/>
    <w:basedOn w:val="Normal"/>
    <w:uiPriority w:val="99"/>
    <w:rsid w:val="00F21FB7"/>
    <w:pPr>
      <w:numPr>
        <w:ilvl w:val="5"/>
        <w:numId w:val="37"/>
      </w:numPr>
      <w:spacing w:after="140" w:line="290" w:lineRule="auto"/>
      <w:jc w:val="both"/>
      <w:outlineLvl w:val="5"/>
    </w:pPr>
    <w:rPr>
      <w:kern w:val="20"/>
    </w:rPr>
  </w:style>
  <w:style w:type="paragraph" w:customStyle="1" w:styleId="Parties">
    <w:name w:val="Parties"/>
    <w:basedOn w:val="Normal"/>
    <w:uiPriority w:val="99"/>
    <w:rsid w:val="00F21FB7"/>
    <w:pPr>
      <w:numPr>
        <w:numId w:val="7"/>
      </w:numPr>
      <w:spacing w:after="140" w:line="290" w:lineRule="auto"/>
      <w:jc w:val="both"/>
    </w:pPr>
    <w:rPr>
      <w:kern w:val="20"/>
    </w:rPr>
  </w:style>
  <w:style w:type="paragraph" w:customStyle="1" w:styleId="Recitals">
    <w:name w:val="Recitals"/>
    <w:basedOn w:val="Normal"/>
    <w:uiPriority w:val="99"/>
    <w:rsid w:val="00F21FB7"/>
    <w:pPr>
      <w:numPr>
        <w:numId w:val="8"/>
      </w:numPr>
      <w:spacing w:after="140" w:line="290" w:lineRule="auto"/>
      <w:jc w:val="both"/>
    </w:pPr>
    <w:rPr>
      <w:kern w:val="20"/>
    </w:rPr>
  </w:style>
  <w:style w:type="paragraph" w:customStyle="1" w:styleId="alpha1">
    <w:name w:val="alpha 1"/>
    <w:basedOn w:val="Normal"/>
    <w:uiPriority w:val="99"/>
    <w:rsid w:val="00F21FB7"/>
    <w:pPr>
      <w:numPr>
        <w:numId w:val="29"/>
      </w:numPr>
      <w:spacing w:after="140" w:line="290" w:lineRule="auto"/>
      <w:jc w:val="both"/>
    </w:pPr>
    <w:rPr>
      <w:kern w:val="20"/>
      <w:szCs w:val="20"/>
    </w:rPr>
  </w:style>
  <w:style w:type="paragraph" w:customStyle="1" w:styleId="alpha2">
    <w:name w:val="alpha 2"/>
    <w:basedOn w:val="Normal"/>
    <w:uiPriority w:val="99"/>
    <w:rsid w:val="00F21FB7"/>
    <w:pPr>
      <w:numPr>
        <w:numId w:val="30"/>
      </w:numPr>
      <w:spacing w:after="140" w:line="290" w:lineRule="auto"/>
      <w:jc w:val="both"/>
    </w:pPr>
    <w:rPr>
      <w:kern w:val="20"/>
      <w:szCs w:val="20"/>
    </w:rPr>
  </w:style>
  <w:style w:type="paragraph" w:customStyle="1" w:styleId="alpha3">
    <w:name w:val="alpha 3"/>
    <w:basedOn w:val="Normal"/>
    <w:uiPriority w:val="99"/>
    <w:rsid w:val="00F21FB7"/>
    <w:pPr>
      <w:numPr>
        <w:numId w:val="31"/>
      </w:numPr>
      <w:spacing w:after="140" w:line="290" w:lineRule="auto"/>
      <w:jc w:val="both"/>
    </w:pPr>
    <w:rPr>
      <w:kern w:val="20"/>
      <w:szCs w:val="20"/>
    </w:rPr>
  </w:style>
  <w:style w:type="paragraph" w:customStyle="1" w:styleId="alpha4">
    <w:name w:val="alpha 4"/>
    <w:basedOn w:val="Normal"/>
    <w:uiPriority w:val="99"/>
    <w:rsid w:val="00F21FB7"/>
    <w:pPr>
      <w:numPr>
        <w:numId w:val="32"/>
      </w:numPr>
      <w:spacing w:after="140" w:line="290" w:lineRule="auto"/>
      <w:jc w:val="both"/>
    </w:pPr>
    <w:rPr>
      <w:kern w:val="20"/>
      <w:szCs w:val="20"/>
    </w:rPr>
  </w:style>
  <w:style w:type="paragraph" w:customStyle="1" w:styleId="alpha5">
    <w:name w:val="alpha 5"/>
    <w:basedOn w:val="Normal"/>
    <w:uiPriority w:val="99"/>
    <w:rsid w:val="00F21FB7"/>
    <w:pPr>
      <w:numPr>
        <w:numId w:val="33"/>
      </w:numPr>
      <w:spacing w:after="140" w:line="290" w:lineRule="auto"/>
      <w:jc w:val="both"/>
    </w:pPr>
    <w:rPr>
      <w:kern w:val="20"/>
      <w:szCs w:val="20"/>
    </w:rPr>
  </w:style>
  <w:style w:type="paragraph" w:customStyle="1" w:styleId="alpha6">
    <w:name w:val="alpha 6"/>
    <w:basedOn w:val="Normal"/>
    <w:uiPriority w:val="99"/>
    <w:rsid w:val="00F21FB7"/>
    <w:pPr>
      <w:numPr>
        <w:numId w:val="34"/>
      </w:numPr>
      <w:spacing w:after="140" w:line="290" w:lineRule="auto"/>
      <w:jc w:val="both"/>
    </w:pPr>
    <w:rPr>
      <w:kern w:val="20"/>
      <w:szCs w:val="20"/>
    </w:rPr>
  </w:style>
  <w:style w:type="paragraph" w:customStyle="1" w:styleId="bullet10">
    <w:name w:val="bullet 1"/>
    <w:basedOn w:val="Normal"/>
    <w:uiPriority w:val="99"/>
    <w:rsid w:val="00F21FB7"/>
    <w:pPr>
      <w:numPr>
        <w:numId w:val="1"/>
      </w:numPr>
      <w:spacing w:after="140" w:line="290" w:lineRule="auto"/>
      <w:jc w:val="both"/>
    </w:pPr>
    <w:rPr>
      <w:kern w:val="20"/>
    </w:rPr>
  </w:style>
  <w:style w:type="paragraph" w:customStyle="1" w:styleId="bullet2">
    <w:name w:val="bullet 2"/>
    <w:basedOn w:val="Normal"/>
    <w:uiPriority w:val="99"/>
    <w:rsid w:val="00F21FB7"/>
    <w:pPr>
      <w:numPr>
        <w:numId w:val="2"/>
      </w:numPr>
      <w:spacing w:after="140" w:line="290" w:lineRule="auto"/>
      <w:jc w:val="both"/>
    </w:pPr>
    <w:rPr>
      <w:kern w:val="20"/>
    </w:rPr>
  </w:style>
  <w:style w:type="paragraph" w:customStyle="1" w:styleId="bullet3">
    <w:name w:val="bullet 3"/>
    <w:basedOn w:val="Normal"/>
    <w:uiPriority w:val="99"/>
    <w:rsid w:val="00F21FB7"/>
    <w:pPr>
      <w:numPr>
        <w:numId w:val="3"/>
      </w:numPr>
      <w:spacing w:after="140" w:line="290" w:lineRule="auto"/>
      <w:jc w:val="both"/>
    </w:pPr>
    <w:rPr>
      <w:kern w:val="20"/>
    </w:rPr>
  </w:style>
  <w:style w:type="paragraph" w:customStyle="1" w:styleId="bullet4">
    <w:name w:val="bullet 4"/>
    <w:basedOn w:val="Normal"/>
    <w:uiPriority w:val="99"/>
    <w:rsid w:val="00F21FB7"/>
    <w:pPr>
      <w:numPr>
        <w:numId w:val="4"/>
      </w:numPr>
      <w:spacing w:after="140" w:line="290" w:lineRule="auto"/>
      <w:jc w:val="both"/>
    </w:pPr>
    <w:rPr>
      <w:kern w:val="20"/>
    </w:rPr>
  </w:style>
  <w:style w:type="paragraph" w:customStyle="1" w:styleId="bullet5">
    <w:name w:val="bullet 5"/>
    <w:basedOn w:val="Normal"/>
    <w:uiPriority w:val="99"/>
    <w:rsid w:val="00F21FB7"/>
    <w:pPr>
      <w:numPr>
        <w:numId w:val="5"/>
      </w:numPr>
      <w:spacing w:after="140" w:line="290" w:lineRule="auto"/>
      <w:jc w:val="both"/>
    </w:pPr>
    <w:rPr>
      <w:kern w:val="20"/>
    </w:rPr>
  </w:style>
  <w:style w:type="paragraph" w:customStyle="1" w:styleId="bullet6">
    <w:name w:val="bullet 6"/>
    <w:basedOn w:val="Normal"/>
    <w:uiPriority w:val="99"/>
    <w:rsid w:val="00F21FB7"/>
    <w:pPr>
      <w:numPr>
        <w:numId w:val="6"/>
      </w:numPr>
      <w:spacing w:after="140" w:line="290" w:lineRule="auto"/>
      <w:jc w:val="both"/>
    </w:pPr>
    <w:rPr>
      <w:kern w:val="20"/>
    </w:rPr>
  </w:style>
  <w:style w:type="paragraph" w:customStyle="1" w:styleId="roman1">
    <w:name w:val="roman 1"/>
    <w:basedOn w:val="Normal"/>
    <w:uiPriority w:val="99"/>
    <w:rsid w:val="00F21FB7"/>
    <w:pPr>
      <w:numPr>
        <w:numId w:val="21"/>
      </w:numPr>
      <w:tabs>
        <w:tab w:val="clear" w:pos="720"/>
        <w:tab w:val="left" w:pos="567"/>
      </w:tabs>
      <w:spacing w:after="140" w:line="290" w:lineRule="auto"/>
      <w:jc w:val="both"/>
    </w:pPr>
    <w:rPr>
      <w:kern w:val="20"/>
      <w:szCs w:val="20"/>
    </w:rPr>
  </w:style>
  <w:style w:type="paragraph" w:customStyle="1" w:styleId="roman2">
    <w:name w:val="roman 2"/>
    <w:basedOn w:val="Normal"/>
    <w:uiPriority w:val="99"/>
    <w:rsid w:val="00F21FB7"/>
    <w:pPr>
      <w:numPr>
        <w:numId w:val="22"/>
      </w:numPr>
      <w:spacing w:after="140" w:line="290" w:lineRule="auto"/>
      <w:jc w:val="both"/>
    </w:pPr>
    <w:rPr>
      <w:kern w:val="20"/>
      <w:szCs w:val="20"/>
    </w:rPr>
  </w:style>
  <w:style w:type="paragraph" w:customStyle="1" w:styleId="roman3">
    <w:name w:val="roman 3"/>
    <w:basedOn w:val="Normal"/>
    <w:uiPriority w:val="99"/>
    <w:rsid w:val="00F21FB7"/>
    <w:pPr>
      <w:numPr>
        <w:numId w:val="23"/>
      </w:numPr>
      <w:spacing w:after="140" w:line="290" w:lineRule="auto"/>
      <w:jc w:val="both"/>
    </w:pPr>
    <w:rPr>
      <w:kern w:val="20"/>
      <w:szCs w:val="20"/>
    </w:rPr>
  </w:style>
  <w:style w:type="paragraph" w:customStyle="1" w:styleId="roman4">
    <w:name w:val="roman 4"/>
    <w:basedOn w:val="Normal"/>
    <w:uiPriority w:val="99"/>
    <w:rsid w:val="00F21FB7"/>
    <w:pPr>
      <w:numPr>
        <w:numId w:val="24"/>
      </w:numPr>
      <w:spacing w:after="140" w:line="290" w:lineRule="auto"/>
      <w:jc w:val="both"/>
    </w:pPr>
    <w:rPr>
      <w:kern w:val="20"/>
      <w:szCs w:val="20"/>
    </w:rPr>
  </w:style>
  <w:style w:type="paragraph" w:customStyle="1" w:styleId="roman5">
    <w:name w:val="roman 5"/>
    <w:basedOn w:val="Normal"/>
    <w:uiPriority w:val="99"/>
    <w:rsid w:val="00F21FB7"/>
    <w:pPr>
      <w:numPr>
        <w:numId w:val="25"/>
      </w:numPr>
      <w:tabs>
        <w:tab w:val="clear" w:pos="3442"/>
        <w:tab w:val="left" w:pos="3289"/>
      </w:tabs>
      <w:spacing w:after="140" w:line="290" w:lineRule="auto"/>
      <w:jc w:val="both"/>
    </w:pPr>
    <w:rPr>
      <w:kern w:val="20"/>
      <w:szCs w:val="20"/>
    </w:rPr>
  </w:style>
  <w:style w:type="paragraph" w:customStyle="1" w:styleId="roman6">
    <w:name w:val="roman 6"/>
    <w:basedOn w:val="Normal"/>
    <w:uiPriority w:val="99"/>
    <w:rsid w:val="00F21FB7"/>
    <w:pPr>
      <w:numPr>
        <w:numId w:val="26"/>
      </w:numPr>
      <w:spacing w:after="140" w:line="290" w:lineRule="auto"/>
      <w:jc w:val="both"/>
    </w:pPr>
    <w:rPr>
      <w:kern w:val="20"/>
      <w:szCs w:val="20"/>
    </w:rPr>
  </w:style>
  <w:style w:type="paragraph" w:customStyle="1" w:styleId="CellHead">
    <w:name w:val="CellHead"/>
    <w:basedOn w:val="Normal"/>
    <w:uiPriority w:val="99"/>
    <w:rsid w:val="00F21FB7"/>
    <w:pPr>
      <w:keepNext/>
      <w:spacing w:before="60" w:after="60" w:line="259" w:lineRule="auto"/>
    </w:pPr>
    <w:rPr>
      <w:b/>
      <w:kern w:val="20"/>
    </w:rPr>
  </w:style>
  <w:style w:type="paragraph" w:customStyle="1" w:styleId="zFSNameofDoc">
    <w:name w:val="zFSNameofDoc"/>
    <w:basedOn w:val="Normal"/>
    <w:uiPriority w:val="99"/>
    <w:rsid w:val="00F21FB7"/>
    <w:pPr>
      <w:spacing w:before="300" w:after="400" w:line="290" w:lineRule="auto"/>
      <w:jc w:val="center"/>
    </w:pPr>
    <w:rPr>
      <w:caps/>
    </w:rPr>
  </w:style>
  <w:style w:type="paragraph" w:styleId="Tittel">
    <w:name w:val="Title"/>
    <w:basedOn w:val="Normal"/>
    <w:next w:val="Body"/>
    <w:link w:val="TittelTegn"/>
    <w:uiPriority w:val="99"/>
    <w:qFormat/>
    <w:rsid w:val="00F21FB7"/>
    <w:pPr>
      <w:keepNext/>
      <w:spacing w:after="240" w:line="290" w:lineRule="auto"/>
      <w:jc w:val="both"/>
    </w:pPr>
    <w:rPr>
      <w:rFonts w:ascii="Cambria" w:hAnsi="Cambria"/>
      <w:b/>
      <w:bCs/>
      <w:kern w:val="28"/>
      <w:sz w:val="32"/>
      <w:szCs w:val="32"/>
    </w:rPr>
  </w:style>
  <w:style w:type="character" w:customStyle="1" w:styleId="TittelTegn">
    <w:name w:val="Tittel Tegn"/>
    <w:link w:val="Tittel"/>
    <w:uiPriority w:val="99"/>
    <w:locked/>
    <w:rsid w:val="00965559"/>
    <w:rPr>
      <w:rFonts w:ascii="Cambria" w:hAnsi="Cambria" w:cs="Times New Roman"/>
      <w:b/>
      <w:bCs/>
      <w:kern w:val="28"/>
      <w:sz w:val="32"/>
      <w:szCs w:val="32"/>
      <w:lang w:val="en-GB" w:eastAsia="en-US"/>
    </w:rPr>
  </w:style>
  <w:style w:type="paragraph" w:customStyle="1" w:styleId="Head1">
    <w:name w:val="Head 1"/>
    <w:basedOn w:val="Normal"/>
    <w:next w:val="Body1"/>
    <w:uiPriority w:val="99"/>
    <w:rsid w:val="00F21FB7"/>
    <w:pPr>
      <w:keepNext/>
      <w:spacing w:before="280" w:after="140" w:line="290" w:lineRule="auto"/>
      <w:ind w:left="567"/>
      <w:jc w:val="both"/>
    </w:pPr>
    <w:rPr>
      <w:b/>
      <w:kern w:val="22"/>
      <w:sz w:val="22"/>
    </w:rPr>
  </w:style>
  <w:style w:type="paragraph" w:customStyle="1" w:styleId="Head2">
    <w:name w:val="Head 2"/>
    <w:basedOn w:val="Normal"/>
    <w:next w:val="Body2"/>
    <w:uiPriority w:val="99"/>
    <w:rsid w:val="00F21FB7"/>
    <w:pPr>
      <w:keepNext/>
      <w:spacing w:before="280" w:after="60" w:line="290" w:lineRule="auto"/>
      <w:ind w:left="1247"/>
      <w:jc w:val="both"/>
    </w:pPr>
    <w:rPr>
      <w:b/>
      <w:kern w:val="21"/>
      <w:sz w:val="21"/>
    </w:rPr>
  </w:style>
  <w:style w:type="paragraph" w:customStyle="1" w:styleId="Head3">
    <w:name w:val="Head 3"/>
    <w:basedOn w:val="Normal"/>
    <w:next w:val="Body3"/>
    <w:uiPriority w:val="99"/>
    <w:rsid w:val="00F21FB7"/>
    <w:pPr>
      <w:keepNext/>
      <w:spacing w:before="280" w:after="40" w:line="290" w:lineRule="auto"/>
      <w:ind w:left="2041"/>
      <w:jc w:val="both"/>
    </w:pPr>
    <w:rPr>
      <w:b/>
      <w:kern w:val="20"/>
    </w:rPr>
  </w:style>
  <w:style w:type="paragraph" w:customStyle="1" w:styleId="SubHead">
    <w:name w:val="SubHead"/>
    <w:basedOn w:val="Normal"/>
    <w:next w:val="Body"/>
    <w:uiPriority w:val="99"/>
    <w:rsid w:val="00F21FB7"/>
    <w:pPr>
      <w:keepNext/>
      <w:spacing w:before="120" w:after="60" w:line="290" w:lineRule="auto"/>
      <w:jc w:val="both"/>
    </w:pPr>
    <w:rPr>
      <w:b/>
      <w:kern w:val="21"/>
      <w:sz w:val="21"/>
    </w:rPr>
  </w:style>
  <w:style w:type="paragraph" w:customStyle="1" w:styleId="SchedApps">
    <w:name w:val="Sched/Apps"/>
    <w:basedOn w:val="Normal"/>
    <w:next w:val="Body"/>
    <w:uiPriority w:val="99"/>
    <w:rsid w:val="00F21FB7"/>
    <w:pPr>
      <w:keepNext/>
      <w:pageBreakBefore/>
      <w:spacing w:after="240" w:line="290" w:lineRule="auto"/>
      <w:jc w:val="center"/>
      <w:outlineLvl w:val="3"/>
    </w:pPr>
    <w:rPr>
      <w:b/>
      <w:kern w:val="23"/>
      <w:sz w:val="23"/>
    </w:rPr>
  </w:style>
  <w:style w:type="paragraph" w:customStyle="1" w:styleId="Schedule1">
    <w:name w:val="Schedule 1"/>
    <w:basedOn w:val="Normal"/>
    <w:uiPriority w:val="99"/>
    <w:rsid w:val="00F21FB7"/>
    <w:pPr>
      <w:numPr>
        <w:numId w:val="9"/>
      </w:numPr>
      <w:spacing w:after="140" w:line="290" w:lineRule="auto"/>
      <w:jc w:val="both"/>
      <w:outlineLvl w:val="0"/>
    </w:pPr>
    <w:rPr>
      <w:kern w:val="20"/>
    </w:rPr>
  </w:style>
  <w:style w:type="paragraph" w:customStyle="1" w:styleId="Schedule2">
    <w:name w:val="Schedule 2"/>
    <w:basedOn w:val="Normal"/>
    <w:uiPriority w:val="99"/>
    <w:rsid w:val="00F21FB7"/>
    <w:pPr>
      <w:numPr>
        <w:ilvl w:val="1"/>
        <w:numId w:val="9"/>
      </w:numPr>
      <w:spacing w:after="140" w:line="290" w:lineRule="auto"/>
      <w:jc w:val="both"/>
      <w:outlineLvl w:val="1"/>
    </w:pPr>
    <w:rPr>
      <w:kern w:val="20"/>
    </w:rPr>
  </w:style>
  <w:style w:type="paragraph" w:customStyle="1" w:styleId="Schedule3">
    <w:name w:val="Schedule 3"/>
    <w:basedOn w:val="Normal"/>
    <w:uiPriority w:val="99"/>
    <w:rsid w:val="00F21FB7"/>
    <w:pPr>
      <w:numPr>
        <w:ilvl w:val="2"/>
        <w:numId w:val="9"/>
      </w:numPr>
      <w:spacing w:after="140" w:line="290" w:lineRule="auto"/>
      <w:jc w:val="both"/>
      <w:outlineLvl w:val="2"/>
    </w:pPr>
    <w:rPr>
      <w:kern w:val="20"/>
    </w:rPr>
  </w:style>
  <w:style w:type="paragraph" w:customStyle="1" w:styleId="Schedule4">
    <w:name w:val="Schedule 4"/>
    <w:basedOn w:val="Normal"/>
    <w:uiPriority w:val="99"/>
    <w:rsid w:val="00F21FB7"/>
    <w:pPr>
      <w:numPr>
        <w:ilvl w:val="3"/>
        <w:numId w:val="9"/>
      </w:numPr>
      <w:spacing w:after="140" w:line="290" w:lineRule="auto"/>
      <w:jc w:val="both"/>
      <w:outlineLvl w:val="3"/>
    </w:pPr>
    <w:rPr>
      <w:kern w:val="20"/>
    </w:rPr>
  </w:style>
  <w:style w:type="paragraph" w:customStyle="1" w:styleId="Schedule5">
    <w:name w:val="Schedule 5"/>
    <w:basedOn w:val="Normal"/>
    <w:uiPriority w:val="99"/>
    <w:rsid w:val="00F21FB7"/>
    <w:pPr>
      <w:numPr>
        <w:ilvl w:val="4"/>
        <w:numId w:val="9"/>
      </w:numPr>
      <w:spacing w:after="140" w:line="290" w:lineRule="auto"/>
      <w:jc w:val="both"/>
      <w:outlineLvl w:val="4"/>
    </w:pPr>
    <w:rPr>
      <w:kern w:val="20"/>
    </w:rPr>
  </w:style>
  <w:style w:type="paragraph" w:customStyle="1" w:styleId="Schedule6">
    <w:name w:val="Schedule 6"/>
    <w:basedOn w:val="Normal"/>
    <w:uiPriority w:val="99"/>
    <w:rsid w:val="00F21FB7"/>
    <w:pPr>
      <w:numPr>
        <w:ilvl w:val="5"/>
        <w:numId w:val="9"/>
      </w:numPr>
      <w:spacing w:after="140" w:line="290" w:lineRule="auto"/>
      <w:jc w:val="both"/>
      <w:outlineLvl w:val="5"/>
    </w:pPr>
    <w:rPr>
      <w:kern w:val="20"/>
    </w:rPr>
  </w:style>
  <w:style w:type="paragraph" w:customStyle="1" w:styleId="TCLevel1">
    <w:name w:val="T+C Level 1"/>
    <w:basedOn w:val="Normal"/>
    <w:next w:val="TCLevel2"/>
    <w:uiPriority w:val="99"/>
    <w:rsid w:val="00F21FB7"/>
    <w:pPr>
      <w:keepNext/>
      <w:numPr>
        <w:numId w:val="10"/>
      </w:numPr>
      <w:spacing w:before="140" w:line="290" w:lineRule="auto"/>
      <w:jc w:val="both"/>
      <w:outlineLvl w:val="0"/>
    </w:pPr>
    <w:rPr>
      <w:b/>
      <w:kern w:val="20"/>
    </w:rPr>
  </w:style>
  <w:style w:type="paragraph" w:customStyle="1" w:styleId="TCLevel2">
    <w:name w:val="T+C Level 2"/>
    <w:basedOn w:val="Normal"/>
    <w:uiPriority w:val="99"/>
    <w:rsid w:val="00F21FB7"/>
    <w:pPr>
      <w:numPr>
        <w:ilvl w:val="1"/>
        <w:numId w:val="11"/>
      </w:numPr>
      <w:spacing w:after="140" w:line="290" w:lineRule="auto"/>
      <w:jc w:val="both"/>
      <w:outlineLvl w:val="1"/>
    </w:pPr>
    <w:rPr>
      <w:kern w:val="20"/>
    </w:rPr>
  </w:style>
  <w:style w:type="paragraph" w:customStyle="1" w:styleId="TCLevel3">
    <w:name w:val="T+C Level 3"/>
    <w:basedOn w:val="Normal"/>
    <w:uiPriority w:val="99"/>
    <w:rsid w:val="00F21FB7"/>
    <w:pPr>
      <w:numPr>
        <w:ilvl w:val="2"/>
        <w:numId w:val="12"/>
      </w:numPr>
      <w:spacing w:after="140" w:line="290" w:lineRule="auto"/>
      <w:jc w:val="both"/>
      <w:outlineLvl w:val="2"/>
    </w:pPr>
    <w:rPr>
      <w:kern w:val="20"/>
    </w:rPr>
  </w:style>
  <w:style w:type="paragraph" w:customStyle="1" w:styleId="TCLevel4">
    <w:name w:val="T+C Level 4"/>
    <w:basedOn w:val="Normal"/>
    <w:uiPriority w:val="99"/>
    <w:rsid w:val="00F21FB7"/>
    <w:pPr>
      <w:numPr>
        <w:ilvl w:val="3"/>
        <w:numId w:val="13"/>
      </w:numPr>
      <w:spacing w:after="140" w:line="290" w:lineRule="auto"/>
      <w:jc w:val="both"/>
      <w:outlineLvl w:val="3"/>
    </w:pPr>
    <w:rPr>
      <w:kern w:val="20"/>
    </w:rPr>
  </w:style>
  <w:style w:type="paragraph" w:styleId="Dato">
    <w:name w:val="Date"/>
    <w:basedOn w:val="Normal"/>
    <w:next w:val="Normal"/>
    <w:link w:val="DatoTegn"/>
    <w:uiPriority w:val="99"/>
    <w:rsid w:val="00F21FB7"/>
    <w:rPr>
      <w:sz w:val="24"/>
    </w:rPr>
  </w:style>
  <w:style w:type="character" w:customStyle="1" w:styleId="DatoTegn">
    <w:name w:val="Dato Tegn"/>
    <w:link w:val="Dato"/>
    <w:uiPriority w:val="99"/>
    <w:semiHidden/>
    <w:locked/>
    <w:rsid w:val="00965559"/>
    <w:rPr>
      <w:rFonts w:ascii="Arial" w:hAnsi="Arial" w:cs="Times New Roman"/>
      <w:sz w:val="24"/>
      <w:szCs w:val="24"/>
      <w:lang w:val="en-GB" w:eastAsia="en-US"/>
    </w:rPr>
  </w:style>
  <w:style w:type="paragraph" w:customStyle="1" w:styleId="DocExCode">
    <w:name w:val="DocExCode"/>
    <w:basedOn w:val="Normal"/>
    <w:uiPriority w:val="99"/>
    <w:rsid w:val="00F21FB7"/>
    <w:pPr>
      <w:pBdr>
        <w:top w:val="single" w:sz="4" w:space="1" w:color="auto"/>
      </w:pBdr>
    </w:pPr>
    <w:rPr>
      <w:kern w:val="20"/>
      <w:sz w:val="16"/>
    </w:rPr>
  </w:style>
  <w:style w:type="paragraph" w:customStyle="1" w:styleId="DocExCode-NoLine">
    <w:name w:val="DocExCode - No Line"/>
    <w:basedOn w:val="DocExCode"/>
    <w:uiPriority w:val="99"/>
    <w:rsid w:val="00F21FB7"/>
    <w:pPr>
      <w:pBdr>
        <w:top w:val="none" w:sz="0" w:space="0" w:color="auto"/>
      </w:pBdr>
    </w:pPr>
    <w:rPr>
      <w:lang w:val="nl-BE"/>
    </w:rPr>
  </w:style>
  <w:style w:type="paragraph" w:customStyle="1" w:styleId="DocumentMap">
    <w:name w:val="DocumentMap"/>
    <w:basedOn w:val="Normal"/>
    <w:uiPriority w:val="99"/>
    <w:rsid w:val="00F21FB7"/>
  </w:style>
  <w:style w:type="paragraph" w:styleId="Bunntekst">
    <w:name w:val="footer"/>
    <w:basedOn w:val="Normal"/>
    <w:link w:val="BunntekstTegn"/>
    <w:uiPriority w:val="99"/>
    <w:rsid w:val="00F21FB7"/>
    <w:pPr>
      <w:tabs>
        <w:tab w:val="center" w:pos="4366"/>
        <w:tab w:val="right" w:pos="8732"/>
      </w:tabs>
    </w:pPr>
    <w:rPr>
      <w:sz w:val="24"/>
    </w:rPr>
  </w:style>
  <w:style w:type="character" w:customStyle="1" w:styleId="BunntekstTegn">
    <w:name w:val="Bunntekst Tegn"/>
    <w:link w:val="Bunntekst"/>
    <w:uiPriority w:val="99"/>
    <w:semiHidden/>
    <w:locked/>
    <w:rsid w:val="00965559"/>
    <w:rPr>
      <w:rFonts w:ascii="Arial" w:hAnsi="Arial" w:cs="Times New Roman"/>
      <w:sz w:val="24"/>
      <w:szCs w:val="24"/>
      <w:lang w:val="en-GB" w:eastAsia="en-US"/>
    </w:rPr>
  </w:style>
  <w:style w:type="character" w:styleId="Fotnotereferanse">
    <w:name w:val="footnote reference"/>
    <w:uiPriority w:val="99"/>
    <w:semiHidden/>
    <w:rsid w:val="00F21FB7"/>
    <w:rPr>
      <w:rFonts w:ascii="Arial" w:hAnsi="Arial" w:cs="Times New Roman"/>
      <w:kern w:val="2"/>
      <w:vertAlign w:val="superscript"/>
    </w:rPr>
  </w:style>
  <w:style w:type="paragraph" w:styleId="Fotnotetekst">
    <w:name w:val="footnote text"/>
    <w:basedOn w:val="Normal"/>
    <w:link w:val="FotnotetekstTegn"/>
    <w:uiPriority w:val="99"/>
    <w:semiHidden/>
    <w:rsid w:val="00F21FB7"/>
    <w:pPr>
      <w:keepLines/>
      <w:tabs>
        <w:tab w:val="left" w:pos="227"/>
      </w:tabs>
      <w:spacing w:after="60" w:line="200" w:lineRule="atLeast"/>
      <w:ind w:left="227" w:hanging="227"/>
      <w:jc w:val="both"/>
    </w:pPr>
    <w:rPr>
      <w:szCs w:val="20"/>
    </w:rPr>
  </w:style>
  <w:style w:type="character" w:customStyle="1" w:styleId="FotnotetekstTegn">
    <w:name w:val="Fotnotetekst Tegn"/>
    <w:link w:val="Fotnotetekst"/>
    <w:uiPriority w:val="99"/>
    <w:semiHidden/>
    <w:locked/>
    <w:rsid w:val="00965559"/>
    <w:rPr>
      <w:rFonts w:ascii="Arial" w:hAnsi="Arial" w:cs="Times New Roman"/>
      <w:sz w:val="20"/>
      <w:szCs w:val="20"/>
      <w:lang w:val="en-GB" w:eastAsia="en-US"/>
    </w:rPr>
  </w:style>
  <w:style w:type="paragraph" w:styleId="Topptekst">
    <w:name w:val="header"/>
    <w:basedOn w:val="Normal"/>
    <w:link w:val="TopptekstTegn"/>
    <w:uiPriority w:val="99"/>
    <w:rsid w:val="00F21FB7"/>
    <w:pPr>
      <w:tabs>
        <w:tab w:val="center" w:pos="4366"/>
        <w:tab w:val="right" w:pos="8732"/>
      </w:tabs>
    </w:pPr>
    <w:rPr>
      <w:sz w:val="24"/>
    </w:rPr>
  </w:style>
  <w:style w:type="character" w:customStyle="1" w:styleId="TopptekstTegn">
    <w:name w:val="Topptekst Tegn"/>
    <w:link w:val="Topptekst"/>
    <w:uiPriority w:val="99"/>
    <w:semiHidden/>
    <w:locked/>
    <w:rsid w:val="00965559"/>
    <w:rPr>
      <w:rFonts w:ascii="Arial" w:hAnsi="Arial" w:cs="Times New Roman"/>
      <w:sz w:val="24"/>
      <w:szCs w:val="24"/>
      <w:lang w:val="en-GB" w:eastAsia="en-US"/>
    </w:rPr>
  </w:style>
  <w:style w:type="paragraph" w:customStyle="1" w:styleId="Level7">
    <w:name w:val="Level 7"/>
    <w:basedOn w:val="Normal"/>
    <w:uiPriority w:val="99"/>
    <w:rsid w:val="00F21FB7"/>
    <w:pPr>
      <w:numPr>
        <w:ilvl w:val="6"/>
        <w:numId w:val="37"/>
      </w:numPr>
      <w:spacing w:after="140" w:line="290" w:lineRule="auto"/>
      <w:jc w:val="both"/>
      <w:outlineLvl w:val="6"/>
    </w:pPr>
    <w:rPr>
      <w:kern w:val="20"/>
    </w:rPr>
  </w:style>
  <w:style w:type="paragraph" w:customStyle="1" w:styleId="Level8">
    <w:name w:val="Level 8"/>
    <w:basedOn w:val="Normal"/>
    <w:uiPriority w:val="99"/>
    <w:rsid w:val="00F21FB7"/>
    <w:pPr>
      <w:numPr>
        <w:ilvl w:val="7"/>
        <w:numId w:val="37"/>
      </w:numPr>
      <w:spacing w:after="140" w:line="290" w:lineRule="auto"/>
      <w:jc w:val="both"/>
      <w:outlineLvl w:val="7"/>
    </w:pPr>
    <w:rPr>
      <w:kern w:val="20"/>
    </w:rPr>
  </w:style>
  <w:style w:type="paragraph" w:customStyle="1" w:styleId="Level9">
    <w:name w:val="Level 9"/>
    <w:basedOn w:val="Normal"/>
    <w:uiPriority w:val="99"/>
    <w:rsid w:val="00F21FB7"/>
    <w:pPr>
      <w:numPr>
        <w:ilvl w:val="8"/>
        <w:numId w:val="37"/>
      </w:numPr>
      <w:spacing w:after="140" w:line="290" w:lineRule="auto"/>
      <w:jc w:val="both"/>
      <w:outlineLvl w:val="8"/>
    </w:pPr>
    <w:rPr>
      <w:kern w:val="20"/>
    </w:rPr>
  </w:style>
  <w:style w:type="character" w:styleId="Sidetall">
    <w:name w:val="page number"/>
    <w:uiPriority w:val="99"/>
    <w:rsid w:val="00F21FB7"/>
    <w:rPr>
      <w:rFonts w:ascii="Arial" w:hAnsi="Arial" w:cs="Times New Roman"/>
      <w:sz w:val="20"/>
    </w:rPr>
  </w:style>
  <w:style w:type="paragraph" w:customStyle="1" w:styleId="Table1">
    <w:name w:val="Table 1"/>
    <w:basedOn w:val="Normal"/>
    <w:uiPriority w:val="99"/>
    <w:rsid w:val="00F21FB7"/>
    <w:pPr>
      <w:numPr>
        <w:numId w:val="14"/>
      </w:numPr>
      <w:spacing w:before="60" w:after="60" w:line="290" w:lineRule="auto"/>
      <w:outlineLvl w:val="0"/>
    </w:pPr>
    <w:rPr>
      <w:kern w:val="20"/>
    </w:rPr>
  </w:style>
  <w:style w:type="paragraph" w:customStyle="1" w:styleId="Table2">
    <w:name w:val="Table 2"/>
    <w:basedOn w:val="Normal"/>
    <w:uiPriority w:val="99"/>
    <w:rsid w:val="00F21FB7"/>
    <w:pPr>
      <w:numPr>
        <w:ilvl w:val="1"/>
        <w:numId w:val="15"/>
      </w:numPr>
      <w:spacing w:before="60" w:after="60" w:line="290" w:lineRule="auto"/>
      <w:outlineLvl w:val="1"/>
    </w:pPr>
    <w:rPr>
      <w:kern w:val="20"/>
    </w:rPr>
  </w:style>
  <w:style w:type="paragraph" w:customStyle="1" w:styleId="Table3">
    <w:name w:val="Table 3"/>
    <w:basedOn w:val="Normal"/>
    <w:uiPriority w:val="99"/>
    <w:rsid w:val="00F21FB7"/>
    <w:pPr>
      <w:numPr>
        <w:ilvl w:val="2"/>
        <w:numId w:val="16"/>
      </w:numPr>
      <w:spacing w:before="60" w:after="60" w:line="290" w:lineRule="auto"/>
      <w:outlineLvl w:val="2"/>
    </w:pPr>
    <w:rPr>
      <w:kern w:val="20"/>
    </w:rPr>
  </w:style>
  <w:style w:type="paragraph" w:customStyle="1" w:styleId="Table4">
    <w:name w:val="Table 4"/>
    <w:basedOn w:val="Normal"/>
    <w:uiPriority w:val="99"/>
    <w:rsid w:val="00F21FB7"/>
    <w:pPr>
      <w:numPr>
        <w:ilvl w:val="3"/>
        <w:numId w:val="17"/>
      </w:numPr>
      <w:tabs>
        <w:tab w:val="clear" w:pos="720"/>
        <w:tab w:val="left" w:pos="567"/>
      </w:tabs>
      <w:spacing w:before="60" w:after="60" w:line="290" w:lineRule="auto"/>
      <w:outlineLvl w:val="3"/>
    </w:pPr>
    <w:rPr>
      <w:kern w:val="20"/>
    </w:rPr>
  </w:style>
  <w:style w:type="paragraph" w:customStyle="1" w:styleId="Table5">
    <w:name w:val="Table 5"/>
    <w:basedOn w:val="Normal"/>
    <w:uiPriority w:val="99"/>
    <w:rsid w:val="00F21FB7"/>
    <w:pPr>
      <w:numPr>
        <w:ilvl w:val="4"/>
        <w:numId w:val="18"/>
      </w:numPr>
      <w:spacing w:before="60" w:after="60" w:line="290" w:lineRule="auto"/>
      <w:outlineLvl w:val="4"/>
    </w:pPr>
    <w:rPr>
      <w:kern w:val="20"/>
    </w:rPr>
  </w:style>
  <w:style w:type="paragraph" w:customStyle="1" w:styleId="Table6">
    <w:name w:val="Table 6"/>
    <w:basedOn w:val="Normal"/>
    <w:uiPriority w:val="99"/>
    <w:rsid w:val="00F21FB7"/>
    <w:pPr>
      <w:numPr>
        <w:ilvl w:val="5"/>
        <w:numId w:val="19"/>
      </w:numPr>
      <w:tabs>
        <w:tab w:val="clear" w:pos="720"/>
        <w:tab w:val="left" w:pos="567"/>
      </w:tabs>
      <w:spacing w:before="60" w:after="60" w:line="290" w:lineRule="auto"/>
      <w:outlineLvl w:val="5"/>
    </w:pPr>
    <w:rPr>
      <w:kern w:val="20"/>
    </w:rPr>
  </w:style>
  <w:style w:type="paragraph" w:customStyle="1" w:styleId="Tablealpha">
    <w:name w:val="Table alpha"/>
    <w:basedOn w:val="CellBody"/>
    <w:uiPriority w:val="99"/>
    <w:rsid w:val="00F21FB7"/>
    <w:pPr>
      <w:numPr>
        <w:numId w:val="27"/>
      </w:numPr>
    </w:pPr>
  </w:style>
  <w:style w:type="paragraph" w:customStyle="1" w:styleId="Tablebullet">
    <w:name w:val="Table bullet"/>
    <w:basedOn w:val="Normal"/>
    <w:uiPriority w:val="99"/>
    <w:rsid w:val="00F21FB7"/>
    <w:pPr>
      <w:numPr>
        <w:numId w:val="20"/>
      </w:numPr>
      <w:spacing w:before="60" w:after="60" w:line="290" w:lineRule="auto"/>
    </w:pPr>
    <w:rPr>
      <w:kern w:val="20"/>
    </w:rPr>
  </w:style>
  <w:style w:type="paragraph" w:customStyle="1" w:styleId="Tableroman">
    <w:name w:val="Table roman"/>
    <w:basedOn w:val="CellBody"/>
    <w:uiPriority w:val="99"/>
    <w:rsid w:val="00F21FB7"/>
    <w:pPr>
      <w:numPr>
        <w:numId w:val="28"/>
      </w:numPr>
      <w:tabs>
        <w:tab w:val="clear" w:pos="720"/>
        <w:tab w:val="left" w:pos="567"/>
      </w:tabs>
    </w:pPr>
  </w:style>
  <w:style w:type="paragraph" w:styleId="INNH2">
    <w:name w:val="toc 2"/>
    <w:basedOn w:val="Normal"/>
    <w:next w:val="Body"/>
    <w:uiPriority w:val="99"/>
    <w:semiHidden/>
    <w:rsid w:val="00F21FB7"/>
    <w:pPr>
      <w:spacing w:before="280" w:after="140" w:line="290" w:lineRule="auto"/>
      <w:ind w:left="907"/>
    </w:pPr>
    <w:rPr>
      <w:kern w:val="20"/>
    </w:rPr>
  </w:style>
  <w:style w:type="paragraph" w:styleId="INNH3">
    <w:name w:val="toc 3"/>
    <w:basedOn w:val="Normal"/>
    <w:next w:val="Body"/>
    <w:uiPriority w:val="99"/>
    <w:semiHidden/>
    <w:rsid w:val="00F21FB7"/>
    <w:pPr>
      <w:spacing w:before="280" w:after="140" w:line="290" w:lineRule="auto"/>
      <w:ind w:left="1587"/>
    </w:pPr>
    <w:rPr>
      <w:kern w:val="20"/>
    </w:rPr>
  </w:style>
  <w:style w:type="paragraph" w:styleId="INNH4">
    <w:name w:val="toc 4"/>
    <w:basedOn w:val="Normal"/>
    <w:next w:val="Body"/>
    <w:uiPriority w:val="99"/>
    <w:semiHidden/>
    <w:rsid w:val="00F21FB7"/>
    <w:pPr>
      <w:spacing w:before="280" w:after="140" w:line="290" w:lineRule="auto"/>
      <w:ind w:left="2041" w:hanging="794"/>
    </w:pPr>
    <w:rPr>
      <w:kern w:val="20"/>
    </w:rPr>
  </w:style>
  <w:style w:type="paragraph" w:styleId="INNH5">
    <w:name w:val="toc 5"/>
    <w:basedOn w:val="Normal"/>
    <w:next w:val="Body"/>
    <w:uiPriority w:val="99"/>
    <w:semiHidden/>
    <w:rsid w:val="00F21FB7"/>
  </w:style>
  <w:style w:type="paragraph" w:styleId="INNH6">
    <w:name w:val="toc 6"/>
    <w:basedOn w:val="Normal"/>
    <w:next w:val="Body"/>
    <w:uiPriority w:val="99"/>
    <w:semiHidden/>
    <w:rsid w:val="00F21FB7"/>
  </w:style>
  <w:style w:type="paragraph" w:styleId="INNH7">
    <w:name w:val="toc 7"/>
    <w:basedOn w:val="Normal"/>
    <w:next w:val="Body"/>
    <w:uiPriority w:val="99"/>
    <w:semiHidden/>
    <w:rsid w:val="00F21FB7"/>
  </w:style>
  <w:style w:type="paragraph" w:styleId="INNH8">
    <w:name w:val="toc 8"/>
    <w:basedOn w:val="Normal"/>
    <w:next w:val="Body"/>
    <w:uiPriority w:val="99"/>
    <w:semiHidden/>
    <w:rsid w:val="00F21FB7"/>
  </w:style>
  <w:style w:type="paragraph" w:styleId="INNH9">
    <w:name w:val="toc 9"/>
    <w:basedOn w:val="Normal"/>
    <w:next w:val="Body"/>
    <w:uiPriority w:val="99"/>
    <w:semiHidden/>
    <w:rsid w:val="00F21FB7"/>
  </w:style>
  <w:style w:type="paragraph" w:customStyle="1" w:styleId="zFSand">
    <w:name w:val="zFSand"/>
    <w:basedOn w:val="Normal"/>
    <w:next w:val="zFSco-names"/>
    <w:uiPriority w:val="99"/>
    <w:rsid w:val="00F21FB7"/>
    <w:pPr>
      <w:spacing w:line="290" w:lineRule="auto"/>
      <w:jc w:val="center"/>
    </w:pPr>
    <w:rPr>
      <w:kern w:val="20"/>
    </w:rPr>
  </w:style>
  <w:style w:type="paragraph" w:customStyle="1" w:styleId="zFSco-names">
    <w:name w:val="zFSco-names"/>
    <w:basedOn w:val="Normal"/>
    <w:next w:val="zFSand"/>
    <w:uiPriority w:val="99"/>
    <w:rsid w:val="00F21FB7"/>
    <w:pPr>
      <w:spacing w:before="120" w:after="120" w:line="290" w:lineRule="auto"/>
      <w:jc w:val="center"/>
    </w:pPr>
    <w:rPr>
      <w:kern w:val="24"/>
      <w:sz w:val="24"/>
    </w:rPr>
  </w:style>
  <w:style w:type="paragraph" w:customStyle="1" w:styleId="zFSDate">
    <w:name w:val="zFSDate"/>
    <w:basedOn w:val="Normal"/>
    <w:uiPriority w:val="99"/>
    <w:rsid w:val="00F21FB7"/>
    <w:pPr>
      <w:spacing w:line="290" w:lineRule="auto"/>
      <w:jc w:val="center"/>
    </w:pPr>
    <w:rPr>
      <w:kern w:val="20"/>
    </w:rPr>
  </w:style>
  <w:style w:type="paragraph" w:customStyle="1" w:styleId="zFSDraft">
    <w:name w:val="zFSDraft"/>
    <w:basedOn w:val="Normal"/>
    <w:uiPriority w:val="99"/>
    <w:rsid w:val="00F21FB7"/>
    <w:pPr>
      <w:spacing w:line="290" w:lineRule="auto"/>
    </w:pPr>
    <w:rPr>
      <w:kern w:val="20"/>
    </w:rPr>
  </w:style>
  <w:style w:type="paragraph" w:customStyle="1" w:styleId="zFSAddress">
    <w:name w:val="zFSAddress"/>
    <w:basedOn w:val="Normal"/>
    <w:uiPriority w:val="99"/>
    <w:rsid w:val="00F21FB7"/>
    <w:pPr>
      <w:spacing w:line="290" w:lineRule="auto"/>
    </w:pPr>
    <w:rPr>
      <w:kern w:val="16"/>
      <w:sz w:val="16"/>
    </w:rPr>
  </w:style>
  <w:style w:type="paragraph" w:customStyle="1" w:styleId="zFSNarrative">
    <w:name w:val="zFSNarrative"/>
    <w:basedOn w:val="Normal"/>
    <w:uiPriority w:val="99"/>
    <w:rsid w:val="00F21FB7"/>
    <w:pPr>
      <w:spacing w:after="120" w:line="290" w:lineRule="auto"/>
      <w:jc w:val="center"/>
    </w:pPr>
    <w:rPr>
      <w:kern w:val="20"/>
    </w:rPr>
  </w:style>
  <w:style w:type="paragraph" w:customStyle="1" w:styleId="zFSTitle">
    <w:name w:val="zFSTitle"/>
    <w:basedOn w:val="Normal"/>
    <w:next w:val="zFSNarrative"/>
    <w:uiPriority w:val="99"/>
    <w:rsid w:val="00F21FB7"/>
    <w:pPr>
      <w:keepNext/>
      <w:spacing w:before="240" w:after="120" w:line="290" w:lineRule="auto"/>
      <w:jc w:val="center"/>
    </w:pPr>
    <w:rPr>
      <w:sz w:val="28"/>
    </w:rPr>
  </w:style>
  <w:style w:type="character" w:styleId="Sluttnotereferanse">
    <w:name w:val="endnote reference"/>
    <w:uiPriority w:val="99"/>
    <w:semiHidden/>
    <w:rsid w:val="00F21FB7"/>
    <w:rPr>
      <w:rFonts w:ascii="Arial" w:hAnsi="Arial" w:cs="Times New Roman"/>
      <w:vertAlign w:val="superscript"/>
    </w:rPr>
  </w:style>
  <w:style w:type="paragraph" w:styleId="Sluttnotetekst">
    <w:name w:val="endnote text"/>
    <w:basedOn w:val="Normal"/>
    <w:link w:val="SluttnotetekstTegn"/>
    <w:uiPriority w:val="99"/>
    <w:semiHidden/>
    <w:rsid w:val="00F21FB7"/>
    <w:rPr>
      <w:szCs w:val="20"/>
    </w:rPr>
  </w:style>
  <w:style w:type="character" w:customStyle="1" w:styleId="SluttnotetekstTegn">
    <w:name w:val="Sluttnotetekst Tegn"/>
    <w:link w:val="Sluttnotetekst"/>
    <w:uiPriority w:val="99"/>
    <w:semiHidden/>
    <w:locked/>
    <w:rsid w:val="00965559"/>
    <w:rPr>
      <w:rFonts w:ascii="Arial" w:hAnsi="Arial" w:cs="Times New Roman"/>
      <w:sz w:val="20"/>
      <w:szCs w:val="20"/>
      <w:lang w:val="en-GB" w:eastAsia="en-US"/>
    </w:rPr>
  </w:style>
  <w:style w:type="paragraph" w:customStyle="1" w:styleId="Head">
    <w:name w:val="Head"/>
    <w:basedOn w:val="Normal"/>
    <w:next w:val="Body"/>
    <w:uiPriority w:val="99"/>
    <w:rsid w:val="00F21FB7"/>
    <w:pPr>
      <w:keepNext/>
      <w:spacing w:before="280" w:after="140" w:line="290" w:lineRule="auto"/>
      <w:jc w:val="both"/>
    </w:pPr>
    <w:rPr>
      <w:b/>
      <w:kern w:val="23"/>
      <w:sz w:val="23"/>
    </w:rPr>
  </w:style>
  <w:style w:type="paragraph" w:styleId="Kildeliste">
    <w:name w:val="table of authorities"/>
    <w:basedOn w:val="Normal"/>
    <w:next w:val="Normal"/>
    <w:uiPriority w:val="99"/>
    <w:semiHidden/>
    <w:rsid w:val="00F21FB7"/>
    <w:pPr>
      <w:ind w:left="200" w:hanging="200"/>
    </w:pPr>
  </w:style>
  <w:style w:type="paragraph" w:customStyle="1" w:styleId="CellBody">
    <w:name w:val="CellBody"/>
    <w:basedOn w:val="Normal"/>
    <w:uiPriority w:val="99"/>
    <w:rsid w:val="00F21FB7"/>
    <w:pPr>
      <w:spacing w:before="60" w:after="60" w:line="290" w:lineRule="auto"/>
    </w:pPr>
    <w:rPr>
      <w:kern w:val="20"/>
      <w:szCs w:val="20"/>
    </w:rPr>
  </w:style>
  <w:style w:type="paragraph" w:customStyle="1" w:styleId="zFSTel">
    <w:name w:val="zFSTel"/>
    <w:basedOn w:val="Normal"/>
    <w:uiPriority w:val="99"/>
    <w:rsid w:val="00F21FB7"/>
    <w:pPr>
      <w:spacing w:before="120"/>
    </w:pPr>
    <w:rPr>
      <w:kern w:val="16"/>
      <w:sz w:val="16"/>
    </w:rPr>
  </w:style>
  <w:style w:type="paragraph" w:customStyle="1" w:styleId="zFSFax">
    <w:name w:val="zFSFax"/>
    <w:basedOn w:val="Normal"/>
    <w:uiPriority w:val="99"/>
    <w:rsid w:val="00F21FB7"/>
    <w:rPr>
      <w:kern w:val="16"/>
      <w:sz w:val="16"/>
    </w:rPr>
  </w:style>
  <w:style w:type="paragraph" w:customStyle="1" w:styleId="zSFRef">
    <w:name w:val="zSFRef"/>
    <w:basedOn w:val="Normal"/>
    <w:uiPriority w:val="99"/>
    <w:rsid w:val="00F21FB7"/>
    <w:rPr>
      <w:kern w:val="16"/>
      <w:sz w:val="16"/>
    </w:rPr>
  </w:style>
  <w:style w:type="paragraph" w:customStyle="1" w:styleId="zFSDescription">
    <w:name w:val="zFSDescription"/>
    <w:basedOn w:val="zFSDate"/>
    <w:uiPriority w:val="99"/>
    <w:rsid w:val="00F21FB7"/>
    <w:rPr>
      <w:i/>
      <w:caps/>
    </w:rPr>
  </w:style>
  <w:style w:type="character" w:customStyle="1" w:styleId="DeltaViewInsertion">
    <w:name w:val="DeltaView Insertion"/>
    <w:uiPriority w:val="99"/>
    <w:rsid w:val="00F21FB7"/>
    <w:rPr>
      <w:color w:val="0000FF"/>
      <w:u w:val="double"/>
    </w:rPr>
  </w:style>
  <w:style w:type="character" w:customStyle="1" w:styleId="DeltaViewDeletion">
    <w:name w:val="DeltaView Deletion"/>
    <w:uiPriority w:val="99"/>
    <w:rsid w:val="00F21FB7"/>
    <w:rPr>
      <w:strike/>
      <w:color w:val="FF0000"/>
    </w:rPr>
  </w:style>
  <w:style w:type="character" w:customStyle="1" w:styleId="DeltaViewChangeNumber">
    <w:name w:val="DeltaView Change Number"/>
    <w:uiPriority w:val="99"/>
    <w:rsid w:val="00F21FB7"/>
    <w:rPr>
      <w:color w:val="000000"/>
    </w:rPr>
  </w:style>
  <w:style w:type="paragraph" w:customStyle="1" w:styleId="zDocType">
    <w:name w:val="zDocType"/>
    <w:basedOn w:val="Normal"/>
    <w:uiPriority w:val="99"/>
    <w:rsid w:val="00F21FB7"/>
    <w:pPr>
      <w:spacing w:after="260"/>
    </w:pPr>
    <w:rPr>
      <w:sz w:val="28"/>
    </w:rPr>
  </w:style>
  <w:style w:type="paragraph" w:customStyle="1" w:styleId="zLogo">
    <w:name w:val="zLogo"/>
    <w:basedOn w:val="Normal"/>
    <w:uiPriority w:val="99"/>
    <w:rsid w:val="00F21FB7"/>
    <w:pPr>
      <w:spacing w:after="160"/>
      <w:ind w:left="6"/>
    </w:pPr>
  </w:style>
  <w:style w:type="paragraph" w:customStyle="1" w:styleId="zDate">
    <w:name w:val="zDate"/>
    <w:basedOn w:val="Normal"/>
    <w:uiPriority w:val="99"/>
    <w:rsid w:val="00F21FB7"/>
    <w:pPr>
      <w:spacing w:after="300"/>
      <w:jc w:val="right"/>
    </w:pPr>
  </w:style>
  <w:style w:type="paragraph" w:customStyle="1" w:styleId="zFormHeaders">
    <w:name w:val="zFormHeaders"/>
    <w:basedOn w:val="Normal"/>
    <w:uiPriority w:val="99"/>
    <w:rsid w:val="00F21FB7"/>
    <w:pPr>
      <w:spacing w:line="240" w:lineRule="exact"/>
    </w:pPr>
    <w:rPr>
      <w:noProof/>
      <w:sz w:val="16"/>
    </w:rPr>
  </w:style>
  <w:style w:type="paragraph" w:customStyle="1" w:styleId="zFormEntries">
    <w:name w:val="zFormEntries"/>
    <w:basedOn w:val="Normal"/>
    <w:uiPriority w:val="99"/>
    <w:rsid w:val="00F21FB7"/>
    <w:pPr>
      <w:spacing w:line="240" w:lineRule="exact"/>
    </w:pPr>
    <w:rPr>
      <w:noProof/>
    </w:rPr>
  </w:style>
  <w:style w:type="paragraph" w:customStyle="1" w:styleId="zSubject">
    <w:name w:val="zSubject"/>
    <w:basedOn w:val="Normal"/>
    <w:uiPriority w:val="99"/>
    <w:rsid w:val="00F21FB7"/>
    <w:pPr>
      <w:spacing w:after="140" w:line="290" w:lineRule="auto"/>
    </w:pPr>
    <w:rPr>
      <w:b/>
      <w:sz w:val="23"/>
    </w:rPr>
  </w:style>
  <w:style w:type="paragraph" w:customStyle="1" w:styleId="zLogoCaption">
    <w:name w:val="zLogoCaption"/>
    <w:basedOn w:val="Normal"/>
    <w:uiPriority w:val="99"/>
    <w:rsid w:val="00F21FB7"/>
    <w:rPr>
      <w:noProof/>
      <w:sz w:val="16"/>
    </w:rPr>
  </w:style>
  <w:style w:type="paragraph" w:customStyle="1" w:styleId="zSpacerRow">
    <w:name w:val="zSpacerRow"/>
    <w:basedOn w:val="Normal"/>
    <w:uiPriority w:val="99"/>
    <w:rsid w:val="00F21FB7"/>
  </w:style>
  <w:style w:type="paragraph" w:customStyle="1" w:styleId="zSpace">
    <w:name w:val="zSpace"/>
    <w:basedOn w:val="Normal"/>
    <w:uiPriority w:val="99"/>
    <w:rsid w:val="00F21FB7"/>
    <w:pPr>
      <w:spacing w:after="280"/>
    </w:pPr>
    <w:rPr>
      <w:sz w:val="2"/>
    </w:rPr>
  </w:style>
  <w:style w:type="paragraph" w:customStyle="1" w:styleId="Bullet1">
    <w:name w:val="Bullet 1"/>
    <w:basedOn w:val="Normal"/>
    <w:uiPriority w:val="99"/>
    <w:rsid w:val="00F21FB7"/>
    <w:pPr>
      <w:numPr>
        <w:numId w:val="36"/>
      </w:numPr>
      <w:spacing w:after="140" w:line="290" w:lineRule="auto"/>
      <w:jc w:val="both"/>
    </w:pPr>
    <w:rPr>
      <w:kern w:val="20"/>
      <w:szCs w:val="20"/>
    </w:rPr>
  </w:style>
  <w:style w:type="character" w:styleId="Hyperkobling">
    <w:name w:val="Hyperlink"/>
    <w:uiPriority w:val="99"/>
    <w:rsid w:val="00F21FB7"/>
    <w:rPr>
      <w:rFonts w:cs="Times New Roman"/>
      <w:color w:val="AF005F"/>
      <w:u w:val="none"/>
    </w:rPr>
  </w:style>
  <w:style w:type="character" w:styleId="Fulgthyperkobling">
    <w:name w:val="FollowedHyperlink"/>
    <w:uiPriority w:val="99"/>
    <w:rsid w:val="00F21FB7"/>
    <w:rPr>
      <w:rFonts w:cs="Times New Roman"/>
      <w:color w:val="AF005F"/>
      <w:u w:val="none"/>
    </w:rPr>
  </w:style>
  <w:style w:type="paragraph" w:customStyle="1" w:styleId="zFSAmount">
    <w:name w:val="zFSAmount"/>
    <w:basedOn w:val="Normal"/>
    <w:uiPriority w:val="99"/>
    <w:rsid w:val="00F21FB7"/>
    <w:pPr>
      <w:spacing w:before="800" w:line="290" w:lineRule="auto"/>
      <w:jc w:val="center"/>
    </w:pPr>
    <w:rPr>
      <w:i/>
    </w:rPr>
  </w:style>
  <w:style w:type="character" w:customStyle="1" w:styleId="BodyChar">
    <w:name w:val="Body Char"/>
    <w:link w:val="Body"/>
    <w:uiPriority w:val="99"/>
    <w:locked/>
    <w:rsid w:val="008D2C2E"/>
    <w:rPr>
      <w:rFonts w:ascii="Arial" w:hAnsi="Arial"/>
      <w:kern w:val="20"/>
      <w:sz w:val="24"/>
      <w:lang w:val="en-GB" w:eastAsia="en-US"/>
    </w:rPr>
  </w:style>
  <w:style w:type="table" w:styleId="Tabellrutenett">
    <w:name w:val="Table Grid"/>
    <w:basedOn w:val="Vanligtabell"/>
    <w:uiPriority w:val="99"/>
    <w:rsid w:val="00391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locked/>
    <w:rsid w:val="009C2601"/>
    <w:rPr>
      <w:rFonts w:ascii="Segoe UI" w:hAnsi="Segoe UI" w:cs="Segoe UI"/>
      <w:sz w:val="18"/>
      <w:szCs w:val="18"/>
    </w:rPr>
  </w:style>
  <w:style w:type="character" w:customStyle="1" w:styleId="BobletekstTegn">
    <w:name w:val="Bobletekst Tegn"/>
    <w:link w:val="Bobletekst"/>
    <w:uiPriority w:val="99"/>
    <w:semiHidden/>
    <w:rsid w:val="009C2601"/>
    <w:rPr>
      <w:rFonts w:ascii="Segoe UI" w:hAnsi="Segoe UI" w:cs="Segoe UI"/>
      <w:sz w:val="18"/>
      <w:szCs w:val="18"/>
      <w:lang w:val="en-GB"/>
    </w:rPr>
  </w:style>
  <w:style w:type="character" w:styleId="Merknadsreferanse">
    <w:name w:val="annotation reference"/>
    <w:uiPriority w:val="99"/>
    <w:semiHidden/>
    <w:unhideWhenUsed/>
    <w:locked/>
    <w:rsid w:val="00766159"/>
    <w:rPr>
      <w:sz w:val="18"/>
      <w:szCs w:val="18"/>
    </w:rPr>
  </w:style>
  <w:style w:type="paragraph" w:styleId="Merknadstekst">
    <w:name w:val="annotation text"/>
    <w:basedOn w:val="Normal"/>
    <w:link w:val="MerknadstekstTegn"/>
    <w:uiPriority w:val="99"/>
    <w:unhideWhenUsed/>
    <w:locked/>
    <w:rsid w:val="00766159"/>
    <w:rPr>
      <w:sz w:val="24"/>
    </w:rPr>
  </w:style>
  <w:style w:type="character" w:customStyle="1" w:styleId="MerknadstekstTegn">
    <w:name w:val="Merknadstekst Tegn"/>
    <w:link w:val="Merknadstekst"/>
    <w:uiPriority w:val="99"/>
    <w:rsid w:val="00766159"/>
    <w:rPr>
      <w:rFonts w:ascii="Arial" w:hAnsi="Arial"/>
      <w:sz w:val="24"/>
      <w:szCs w:val="24"/>
      <w:lang w:eastAsia="en-US"/>
    </w:rPr>
  </w:style>
  <w:style w:type="paragraph" w:styleId="Kommentaremne">
    <w:name w:val="annotation subject"/>
    <w:basedOn w:val="Merknadstekst"/>
    <w:next w:val="Merknadstekst"/>
    <w:link w:val="KommentaremneTegn"/>
    <w:uiPriority w:val="99"/>
    <w:semiHidden/>
    <w:unhideWhenUsed/>
    <w:locked/>
    <w:rsid w:val="00766159"/>
    <w:rPr>
      <w:b/>
      <w:bCs/>
      <w:sz w:val="20"/>
      <w:szCs w:val="20"/>
    </w:rPr>
  </w:style>
  <w:style w:type="character" w:customStyle="1" w:styleId="KommentaremneTegn">
    <w:name w:val="Kommentaremne Tegn"/>
    <w:link w:val="Kommentaremne"/>
    <w:uiPriority w:val="99"/>
    <w:semiHidden/>
    <w:rsid w:val="00766159"/>
    <w:rPr>
      <w:rFonts w:ascii="Arial" w:hAnsi="Arial"/>
      <w:b/>
      <w:bCs/>
      <w:sz w:val="24"/>
      <w:szCs w:val="24"/>
      <w:lang w:eastAsia="en-US"/>
    </w:rPr>
  </w:style>
  <w:style w:type="paragraph" w:styleId="Revisjon">
    <w:name w:val="Revision"/>
    <w:hidden/>
    <w:uiPriority w:val="71"/>
    <w:rsid w:val="00B75EFC"/>
    <w:rPr>
      <w:rFonts w:ascii="Arial" w:hAnsi="Arial"/>
      <w:szCs w:val="24"/>
      <w:lang w:eastAsia="en-US"/>
    </w:rPr>
  </w:style>
  <w:style w:type="paragraph" w:customStyle="1" w:styleId="TitleL">
    <w:name w:val="Title L"/>
    <w:basedOn w:val="Tittel"/>
    <w:rsid w:val="008A6D11"/>
    <w:pPr>
      <w:keepNext w:val="0"/>
      <w:spacing w:line="240" w:lineRule="auto"/>
      <w:jc w:val="left"/>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43783">
      <w:bodyDiv w:val="1"/>
      <w:marLeft w:val="0"/>
      <w:marRight w:val="0"/>
      <w:marTop w:val="0"/>
      <w:marBottom w:val="0"/>
      <w:divBdr>
        <w:top w:val="none" w:sz="0" w:space="0" w:color="auto"/>
        <w:left w:val="none" w:sz="0" w:space="0" w:color="auto"/>
        <w:bottom w:val="none" w:sz="0" w:space="0" w:color="auto"/>
        <w:right w:val="none" w:sz="0" w:space="0" w:color="auto"/>
      </w:divBdr>
    </w:div>
    <w:div w:id="733041887">
      <w:bodyDiv w:val="1"/>
      <w:marLeft w:val="0"/>
      <w:marRight w:val="0"/>
      <w:marTop w:val="0"/>
      <w:marBottom w:val="0"/>
      <w:divBdr>
        <w:top w:val="none" w:sz="0" w:space="0" w:color="auto"/>
        <w:left w:val="none" w:sz="0" w:space="0" w:color="auto"/>
        <w:bottom w:val="none" w:sz="0" w:space="0" w:color="auto"/>
        <w:right w:val="none" w:sz="0" w:space="0" w:color="auto"/>
      </w:divBdr>
    </w:div>
    <w:div w:id="95159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f01fec-5dc5-45f7-80d9-75c23bf6e60c" xsi:nil="true"/>
    <lcf76f155ced4ddcb4097134ff3c332f xmlns="5c0b7025-e8cc-4030-9b17-214ed6f44e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DEA0BD14BA8E429AD96E80D4FD6C14" ma:contentTypeVersion="17" ma:contentTypeDescription="Opprett et nytt dokument." ma:contentTypeScope="" ma:versionID="b5f67f29b9ee73677feafb4da80a9725">
  <xsd:schema xmlns:xsd="http://www.w3.org/2001/XMLSchema" xmlns:xs="http://www.w3.org/2001/XMLSchema" xmlns:p="http://schemas.microsoft.com/office/2006/metadata/properties" xmlns:ns2="5c0b7025-e8cc-4030-9b17-214ed6f44e1d" xmlns:ns3="71f01fec-5dc5-45f7-80d9-75c23bf6e60c" targetNamespace="http://schemas.microsoft.com/office/2006/metadata/properties" ma:root="true" ma:fieldsID="e3247ec58629ced2c9ff2e695ac6af93" ns2:_="" ns3:_="">
    <xsd:import namespace="5c0b7025-e8cc-4030-9b17-214ed6f44e1d"/>
    <xsd:import namespace="71f01fec-5dc5-45f7-80d9-75c23bf6e6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b7025-e8cc-4030-9b17-214ed6f44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3ad65ae6-7bc3-4af9-bbdb-8126d62d3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01fec-5dc5-45f7-80d9-75c23bf6e60c"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2" nillable="true" ma:displayName="Global taksonomikolonne" ma:hidden="true" ma:list="{61ef8a05-5d46-4d67-ad43-95a4fe798a0c}" ma:internalName="TaxCatchAll" ma:showField="CatchAllData" ma:web="71f01fec-5dc5-45f7-80d9-75c23bf6e6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9C8C37-9CD6-407F-AD9F-DC9327620941}">
  <ds:schemaRefs>
    <ds:schemaRef ds:uri="http://schemas.microsoft.com/office/2006/metadata/properties"/>
    <ds:schemaRef ds:uri="http://schemas.microsoft.com/office/infopath/2007/PartnerControls"/>
    <ds:schemaRef ds:uri="71f01fec-5dc5-45f7-80d9-75c23bf6e60c"/>
    <ds:schemaRef ds:uri="5c0b7025-e8cc-4030-9b17-214ed6f44e1d"/>
  </ds:schemaRefs>
</ds:datastoreItem>
</file>

<file path=customXml/itemProps2.xml><?xml version="1.0" encoding="utf-8"?>
<ds:datastoreItem xmlns:ds="http://schemas.openxmlformats.org/officeDocument/2006/customXml" ds:itemID="{37A46434-96C3-4A1E-BE18-71D51B9B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b7025-e8cc-4030-9b17-214ed6f44e1d"/>
    <ds:schemaRef ds:uri="71f01fec-5dc5-45f7-80d9-75c23bf6e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C3AF79-37DF-4BA6-B33A-18BBD3AE8DBF}">
  <ds:schemaRefs>
    <ds:schemaRef ds:uri="http://schemas.openxmlformats.org/officeDocument/2006/bibliography"/>
  </ds:schemaRefs>
</ds:datastoreItem>
</file>

<file path=customXml/itemProps4.xml><?xml version="1.0" encoding="utf-8"?>
<ds:datastoreItem xmlns:ds="http://schemas.openxmlformats.org/officeDocument/2006/customXml" ds:itemID="{3CDB69C6-E47C-4184-8592-6D6D209AA1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5679</Words>
  <Characters>30104</Characters>
  <Application>Microsoft Office Word</Application>
  <DocSecurity>0</DocSecurity>
  <Lines>250</Lines>
  <Paragraphs>71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35712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Nygaard</dc:creator>
  <cp:keywords/>
  <cp:lastModifiedBy>Angela Nygaard</cp:lastModifiedBy>
  <cp:revision>22</cp:revision>
  <cp:lastPrinted>2026-04-23T11:47:00Z</cp:lastPrinted>
  <dcterms:created xsi:type="dcterms:W3CDTF">2026-04-21T13:48:00Z</dcterms:created>
  <dcterms:modified xsi:type="dcterms:W3CDTF">2026-04-23T12:10:00Z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0x0101009FDEA0BD14BA8E429AD96E80D4FD6C14</vt:lpwstr>
  </property>
  <property fmtid="{D5CDD505-2E9C-101B-9397-08002B2CF9AE}" pid="4" name="ClassificationContentMarkingHeaderShapeIds">
    <vt:lpwstr>4f41e385,66234e8,1872ead3</vt:lpwstr>
  </property>
  <property fmtid="{D5CDD505-2E9C-101B-9397-08002B2CF9AE}" pid="5" name="ClassificationContentMarkingHeaderFontProps">
    <vt:lpwstr>#ff5400,10,arial</vt:lpwstr>
  </property>
  <property fmtid="{D5CDD505-2E9C-101B-9397-08002B2CF9AE}" pid="6" name="ClassificationContentMarkingHeaderText">
    <vt:lpwstr>Confidential</vt:lpwstr>
  </property>
  <property fmtid="{D5CDD505-2E9C-101B-9397-08002B2CF9AE}" pid="7" name="MSIP_Label_e80cca60-af48-4ac3-acf4-39718de4b3e5_Enabled">
    <vt:lpwstr>true</vt:lpwstr>
  </property>
  <property fmtid="{D5CDD505-2E9C-101B-9397-08002B2CF9AE}" pid="8" name="MSIP_Label_e80cca60-af48-4ac3-acf4-39718de4b3e5_SetDate">
    <vt:lpwstr>2026-03-18T17:00:12Z</vt:lpwstr>
  </property>
  <property fmtid="{D5CDD505-2E9C-101B-9397-08002B2CF9AE}" pid="9" name="MSIP_Label_e80cca60-af48-4ac3-acf4-39718de4b3e5_Method">
    <vt:lpwstr>Privileged</vt:lpwstr>
  </property>
  <property fmtid="{D5CDD505-2E9C-101B-9397-08002B2CF9AE}" pid="10" name="MSIP_Label_e80cca60-af48-4ac3-acf4-39718de4b3e5_Name">
    <vt:lpwstr>Confidential</vt:lpwstr>
  </property>
  <property fmtid="{D5CDD505-2E9C-101B-9397-08002B2CF9AE}" pid="11" name="MSIP_Label_e80cca60-af48-4ac3-acf4-39718de4b3e5_SiteId">
    <vt:lpwstr>4cbfea0a-b872-47f0-b51c-1c64953c3f0b</vt:lpwstr>
  </property>
  <property fmtid="{D5CDD505-2E9C-101B-9397-08002B2CF9AE}" pid="12" name="MSIP_Label_e80cca60-af48-4ac3-acf4-39718de4b3e5_ActionId">
    <vt:lpwstr>6318c11b-6e6b-4a5a-b5ca-4beddeaec37e</vt:lpwstr>
  </property>
  <property fmtid="{D5CDD505-2E9C-101B-9397-08002B2CF9AE}" pid="13" name="MSIP_Label_e80cca60-af48-4ac3-acf4-39718de4b3e5_ContentBits">
    <vt:lpwstr>1</vt:lpwstr>
  </property>
  <property fmtid="{D5CDD505-2E9C-101B-9397-08002B2CF9AE}" pid="14" name="MSIP_Label_e80cca60-af48-4ac3-acf4-39718de4b3e5_Tag">
    <vt:lpwstr>10, 0, 1, 1</vt:lpwstr>
  </property>
</Properties>
</file>