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44DC" w14:textId="77777777" w:rsidR="000A303C" w:rsidRPr="000A303C" w:rsidRDefault="000A303C" w:rsidP="000A303C">
      <w:pPr>
        <w:rPr>
          <w:rFonts w:asciiTheme="minorHAnsi" w:hAnsiTheme="minorHAnsi" w:cstheme="minorHAnsi"/>
          <w:lang w:val="en-GB"/>
        </w:rPr>
      </w:pPr>
    </w:p>
    <w:p w14:paraId="52665C06" w14:textId="147D576B" w:rsidR="009B54E9" w:rsidRPr="0094663E" w:rsidRDefault="00AA209D" w:rsidP="000A303C">
      <w:pPr>
        <w:spacing w:after="240"/>
        <w:jc w:val="center"/>
        <w:rPr>
          <w:rFonts w:asciiTheme="minorHAnsi" w:hAnsiTheme="minorHAnsi" w:cstheme="minorHAnsi"/>
          <w:bCs/>
          <w:i/>
          <w:iCs/>
          <w:sz w:val="16"/>
          <w:szCs w:val="16"/>
          <w:lang w:val="en-GB"/>
        </w:rPr>
      </w:pP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t xml:space="preserve">Med </w:t>
      </w:r>
      <w:proofErr w:type="spellStart"/>
      <w:r>
        <w:rPr>
          <w:rFonts w:asciiTheme="minorHAnsi" w:hAnsiTheme="minorHAnsi" w:cstheme="minorHAnsi"/>
          <w:bCs/>
          <w:i/>
          <w:iCs/>
          <w:sz w:val="16"/>
          <w:szCs w:val="16"/>
          <w:lang w:val="en-GB"/>
        </w:rPr>
        <w:t>endringer</w:t>
      </w:r>
      <w:proofErr w:type="spellEnd"/>
      <w:r>
        <w:rPr>
          <w:rFonts w:asciiTheme="minorHAnsi" w:hAnsiTheme="minorHAnsi" w:cstheme="minorHAnsi"/>
          <w:bCs/>
          <w:i/>
          <w:iCs/>
          <w:sz w:val="16"/>
          <w:szCs w:val="16"/>
          <w:lang w:val="en-GB"/>
        </w:rPr>
        <w:t xml:space="preserve"> pr </w:t>
      </w:r>
      <w:r w:rsidR="002E10FC">
        <w:rPr>
          <w:rFonts w:asciiTheme="minorHAnsi" w:hAnsiTheme="minorHAnsi" w:cstheme="minorHAnsi"/>
          <w:bCs/>
          <w:i/>
          <w:iCs/>
          <w:sz w:val="16"/>
          <w:szCs w:val="16"/>
          <w:lang w:val="en-GB"/>
        </w:rPr>
        <w:t>2</w:t>
      </w:r>
      <w:r>
        <w:rPr>
          <w:rFonts w:asciiTheme="minorHAnsi" w:hAnsiTheme="minorHAnsi" w:cstheme="minorHAnsi"/>
          <w:bCs/>
          <w:i/>
          <w:iCs/>
          <w:sz w:val="16"/>
          <w:szCs w:val="16"/>
          <w:lang w:val="en-GB"/>
        </w:rPr>
        <w:t xml:space="preserve">1. </w:t>
      </w:r>
      <w:proofErr w:type="spellStart"/>
      <w:r w:rsidR="002E10FC">
        <w:rPr>
          <w:rFonts w:asciiTheme="minorHAnsi" w:hAnsiTheme="minorHAnsi" w:cstheme="minorHAnsi"/>
          <w:bCs/>
          <w:i/>
          <w:iCs/>
          <w:sz w:val="16"/>
          <w:szCs w:val="16"/>
          <w:lang w:val="en-GB"/>
        </w:rPr>
        <w:t>september</w:t>
      </w:r>
      <w:proofErr w:type="spellEnd"/>
      <w:r w:rsidR="002E10FC">
        <w:rPr>
          <w:rFonts w:asciiTheme="minorHAnsi" w:hAnsiTheme="minorHAnsi" w:cstheme="minorHAnsi"/>
          <w:bCs/>
          <w:i/>
          <w:iCs/>
          <w:sz w:val="16"/>
          <w:szCs w:val="16"/>
          <w:lang w:val="en-GB"/>
        </w:rPr>
        <w:t xml:space="preserve"> </w:t>
      </w:r>
      <w:r>
        <w:rPr>
          <w:rFonts w:asciiTheme="minorHAnsi" w:hAnsiTheme="minorHAnsi" w:cstheme="minorHAnsi"/>
          <w:bCs/>
          <w:i/>
          <w:iCs/>
          <w:sz w:val="16"/>
          <w:szCs w:val="16"/>
          <w:lang w:val="en-GB"/>
        </w:rPr>
        <w:t>202</w:t>
      </w:r>
      <w:r w:rsidR="002E10FC">
        <w:rPr>
          <w:rFonts w:asciiTheme="minorHAnsi" w:hAnsiTheme="minorHAnsi" w:cstheme="minorHAnsi"/>
          <w:bCs/>
          <w:i/>
          <w:iCs/>
          <w:sz w:val="16"/>
          <w:szCs w:val="16"/>
          <w:lang w:val="en-GB"/>
        </w:rPr>
        <w:t>2</w:t>
      </w:r>
    </w:p>
    <w:p w14:paraId="3BE5438C" w14:textId="40E9986B" w:rsidR="000A303C" w:rsidRPr="000A303C" w:rsidRDefault="000A303C" w:rsidP="000A303C">
      <w:pPr>
        <w:spacing w:after="240"/>
        <w:jc w:val="center"/>
        <w:rPr>
          <w:rFonts w:asciiTheme="minorHAnsi" w:hAnsiTheme="minorHAnsi" w:cstheme="minorHAnsi"/>
          <w:b/>
          <w:lang w:val="en-GB"/>
        </w:rPr>
      </w:pPr>
      <w:r w:rsidRPr="000A303C">
        <w:rPr>
          <w:rFonts w:asciiTheme="minorHAnsi" w:hAnsiTheme="minorHAnsi" w:cstheme="minorHAnsi"/>
          <w:b/>
          <w:lang w:val="en-GB"/>
        </w:rPr>
        <w:t>DECLARATION OF COMPLETENESS</w:t>
      </w:r>
      <w:r w:rsidR="00C77077" w:rsidRPr="00376062">
        <w:rPr>
          <w:rStyle w:val="Fotnotereferanse"/>
          <w:rFonts w:asciiTheme="minorHAnsi" w:hAnsiTheme="minorHAnsi" w:cstheme="minorHAnsi"/>
          <w:b/>
          <w:lang w:val="en-GB"/>
        </w:rPr>
        <w:footnoteReference w:id="1"/>
      </w:r>
      <w:r w:rsidRPr="00376062">
        <w:rPr>
          <w:rFonts w:asciiTheme="minorHAnsi" w:hAnsiTheme="minorHAnsi" w:cstheme="minorHAnsi"/>
          <w:b/>
          <w:lang w:val="en-GB"/>
        </w:rPr>
        <w:t xml:space="preserve"> </w:t>
      </w:r>
    </w:p>
    <w:p w14:paraId="655D3058" w14:textId="77777777"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43147BAE"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03D9A8A4" w14:textId="77777777" w:rsidR="000A303C" w:rsidRPr="000A303C" w:rsidRDefault="000A303C" w:rsidP="000A303C">
      <w:pPr>
        <w:rPr>
          <w:rFonts w:asciiTheme="minorHAnsi" w:hAnsiTheme="minorHAnsi" w:cstheme="minorHAnsi"/>
          <w:lang w:val="en-GB"/>
        </w:rPr>
      </w:pPr>
    </w:p>
    <w:p w14:paraId="50275AAB" w14:textId="798D0B6F"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9B13FD">
        <w:rPr>
          <w:rStyle w:val="Fotnotereferanse"/>
          <w:rFonts w:cstheme="minorHAnsi"/>
          <w:lang w:val="en-GB"/>
        </w:rPr>
        <w:footnoteReference w:id="2"/>
      </w:r>
      <w:r w:rsidRPr="000A303C">
        <w:rPr>
          <w:rFonts w:asciiTheme="minorHAnsi" w:hAnsiTheme="minorHAnsi" w:cstheme="minorHAnsi"/>
          <w:sz w:val="20"/>
          <w:lang w:val="en-GB"/>
        </w:rPr>
        <w:t xml:space="preserve"> 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of [senior [un/secured] bonds (the "</w:t>
      </w:r>
      <w:r w:rsidRPr="000A303C">
        <w:rPr>
          <w:rFonts w:asciiTheme="minorHAnsi" w:hAnsiTheme="minorHAnsi" w:cstheme="minorHAnsi"/>
          <w:b/>
          <w:sz w:val="20"/>
          <w:lang w:val="en-GB"/>
        </w:rPr>
        <w:t>Bonds</w:t>
      </w:r>
      <w:r w:rsidRPr="000A303C">
        <w:rPr>
          <w:rFonts w:asciiTheme="minorHAnsi" w:hAnsiTheme="minorHAnsi" w:cstheme="minorHAnsi"/>
          <w:sz w:val="20"/>
          <w:lang w:val="en-GB"/>
        </w:rPr>
        <w:t>") (the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Contractor has, among other things, assisted the Client in its preparation of [an offering memora</w:t>
      </w:r>
      <w:r w:rsidR="00E63708">
        <w:rPr>
          <w:rFonts w:asciiTheme="minorHAnsi" w:hAnsiTheme="minorHAnsi" w:cstheme="minorHAnsi"/>
          <w:sz w:val="20"/>
          <w:lang w:val="en-GB"/>
        </w:rPr>
        <w:t>ndum,] an investor presentation, a term sheet</w:t>
      </w:r>
      <w:r w:rsidR="000E66FA">
        <w:rPr>
          <w:rFonts w:asciiTheme="minorHAnsi" w:hAnsiTheme="minorHAnsi" w:cstheme="minorHAnsi"/>
          <w:sz w:val="20"/>
          <w:lang w:val="en-GB"/>
        </w:rPr>
        <w:t xml:space="preserve">, </w:t>
      </w:r>
      <w:r w:rsidR="002F5B8F">
        <w:rPr>
          <w:rFonts w:asciiTheme="minorHAnsi" w:hAnsiTheme="minorHAnsi" w:cstheme="minorHAnsi"/>
          <w:sz w:val="20"/>
          <w:lang w:val="en-GB"/>
        </w:rPr>
        <w:t xml:space="preserve">an </w:t>
      </w:r>
      <w:r w:rsidR="000E66FA">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10CE29B7"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due diligence call with representatives of the Client held on [●].]</w:t>
      </w:r>
      <w:r w:rsidRPr="000A303C">
        <w:rPr>
          <w:rStyle w:val="Fotnotereferanse"/>
          <w:rFonts w:asciiTheme="minorHAnsi" w:hAnsiTheme="minorHAnsi" w:cstheme="minorHAnsi"/>
          <w:sz w:val="20"/>
          <w:lang w:val="en-GB"/>
        </w:rPr>
        <w:footnoteReference w:id="3"/>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502311EB"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[audited/unaudited [consolidated] annual/ 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6C73464D" w14:textId="6C3273DA"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F70FE8">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BC17C9" w:rsidRPr="00BC17C9">
        <w:rPr>
          <w:rFonts w:asciiTheme="minorHAnsi" w:hAnsiTheme="minorHAnsi" w:cstheme="minorHAnsi"/>
          <w:sz w:val="20"/>
          <w:lang w:val="en-GB"/>
        </w:rPr>
        <w:t>and to the best of their knowledge</w:t>
      </w:r>
      <w:r w:rsidRPr="001A7A1F">
        <w:rPr>
          <w:rFonts w:asciiTheme="minorHAnsi" w:hAnsiTheme="minorHAnsi" w:cstheme="minorHAnsi"/>
          <w:sz w:val="20"/>
          <w:lang w:val="en-GB"/>
        </w:rPr>
        <w:t>:</w:t>
      </w:r>
    </w:p>
    <w:p w14:paraId="66936C67" w14:textId="2343AD05" w:rsidR="00327DE1" w:rsidRPr="009B7251" w:rsidRDefault="009B7251" w:rsidP="000A303C">
      <w:pPr>
        <w:spacing w:after="240"/>
        <w:rPr>
          <w:rFonts w:asciiTheme="minorHAnsi" w:hAnsiTheme="minorHAnsi" w:cstheme="minorHAnsi"/>
          <w:b/>
          <w:bCs/>
          <w:sz w:val="20"/>
          <w:lang w:val="en-GB"/>
        </w:rPr>
      </w:pPr>
      <w:r>
        <w:rPr>
          <w:rFonts w:asciiTheme="minorHAnsi" w:hAnsiTheme="minorHAnsi" w:cstheme="minorHAnsi"/>
          <w:sz w:val="20"/>
          <w:lang w:val="en-GB"/>
        </w:rPr>
        <w:tab/>
      </w:r>
      <w:r w:rsidRPr="009B7251">
        <w:rPr>
          <w:rFonts w:asciiTheme="minorHAnsi" w:hAnsiTheme="minorHAnsi" w:cstheme="minorHAnsi"/>
          <w:b/>
          <w:bCs/>
          <w:sz w:val="20"/>
          <w:lang w:val="en-GB"/>
        </w:rPr>
        <w:t>A.</w:t>
      </w:r>
      <w:r w:rsidR="009A5345">
        <w:rPr>
          <w:rFonts w:asciiTheme="minorHAnsi" w:hAnsiTheme="minorHAnsi" w:cstheme="minorHAnsi"/>
          <w:b/>
          <w:bCs/>
          <w:sz w:val="20"/>
          <w:lang w:val="en-GB"/>
        </w:rPr>
        <w:tab/>
      </w:r>
      <w:r w:rsidRPr="009B7251">
        <w:rPr>
          <w:rFonts w:asciiTheme="minorHAnsi" w:hAnsiTheme="minorHAnsi" w:cstheme="minorHAnsi"/>
          <w:b/>
          <w:bCs/>
          <w:sz w:val="20"/>
          <w:lang w:val="en-GB"/>
        </w:rPr>
        <w:t xml:space="preserve"> Disclosure matters</w:t>
      </w:r>
    </w:p>
    <w:p w14:paraId="1D5CE153"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3A41D3">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the Bonds,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F3CEF9E" w14:textId="77777777" w:rsidR="000A303C" w:rsidRPr="000A303C" w:rsidRDefault="000A303C" w:rsidP="000A303C">
      <w:pPr>
        <w:pStyle w:val="Listeavsnitt"/>
        <w:spacing w:after="240"/>
        <w:ind w:left="360"/>
        <w:rPr>
          <w:rFonts w:asciiTheme="minorHAnsi" w:hAnsiTheme="minorHAnsi" w:cstheme="minorHAnsi"/>
          <w:sz w:val="20"/>
          <w:lang w:val="en-GB"/>
        </w:rPr>
      </w:pPr>
    </w:p>
    <w:p w14:paraId="2FC1384C" w14:textId="77777777" w:rsidR="009B54E9" w:rsidRPr="009B54E9" w:rsidRDefault="000A303C" w:rsidP="009B54E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367B48">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complete and not misleading and contains all information required for investors to make an informed assessment of the Client and its business, financial and legal position, prospects and</w:t>
      </w:r>
      <w:r w:rsidR="009B13FD">
        <w:rPr>
          <w:rFonts w:asciiTheme="minorHAnsi" w:hAnsiTheme="minorHAnsi" w:cstheme="minorHAnsi"/>
          <w:sz w:val="20"/>
          <w:lang w:val="en-GB"/>
        </w:rPr>
        <w:t xml:space="preserve"> the pricing of the Bonds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2299826B" w14:textId="77777777" w:rsidR="009B54E9" w:rsidRDefault="009B54E9" w:rsidP="009B54E9">
      <w:pPr>
        <w:pStyle w:val="Listeavsnitt"/>
        <w:spacing w:after="240"/>
        <w:ind w:left="360"/>
        <w:rPr>
          <w:rFonts w:asciiTheme="minorHAnsi" w:hAnsiTheme="minorHAnsi" w:cstheme="minorHAnsi"/>
          <w:sz w:val="20"/>
          <w:lang w:val="en-GB"/>
        </w:rPr>
      </w:pPr>
    </w:p>
    <w:p w14:paraId="762D0F4C"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w:t>
      </w:r>
      <w:proofErr w:type="gramStart"/>
      <w:r w:rsidRPr="000A303C">
        <w:rPr>
          <w:rFonts w:asciiTheme="minorHAnsi" w:hAnsiTheme="minorHAnsi" w:cstheme="minorHAnsi"/>
          <w:sz w:val="20"/>
          <w:lang w:val="en-GB"/>
        </w:rPr>
        <w:t>respect;</w:t>
      </w:r>
      <w:proofErr w:type="gramEnd"/>
    </w:p>
    <w:p w14:paraId="39B0BAF0"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006B6B"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the Bonds that are necessary to be aware of to make an informed assessment of the Client and the pricing of the Bonds;</w:t>
      </w:r>
      <w:r>
        <w:rPr>
          <w:rFonts w:asciiTheme="minorHAnsi" w:hAnsiTheme="minorHAnsi" w:cstheme="minorHAnsi"/>
          <w:sz w:val="20"/>
          <w:lang w:val="en-GB"/>
        </w:rPr>
        <w:t>]</w:t>
      </w:r>
      <w:r>
        <w:rPr>
          <w:rStyle w:val="Fotnotereferanse"/>
          <w:rFonts w:cstheme="minorHAnsi"/>
          <w:lang w:val="en-GB"/>
        </w:rPr>
        <w:footnoteReference w:id="4"/>
      </w:r>
    </w:p>
    <w:p w14:paraId="4725C6BB" w14:textId="77777777" w:rsidR="000A303C" w:rsidRPr="000A303C" w:rsidRDefault="000A303C" w:rsidP="000A303C">
      <w:pPr>
        <w:pStyle w:val="Listeavsnitt"/>
        <w:spacing w:after="240"/>
        <w:ind w:left="360"/>
        <w:rPr>
          <w:rFonts w:asciiTheme="minorHAnsi" w:hAnsiTheme="minorHAnsi" w:cstheme="minorHAnsi"/>
          <w:sz w:val="20"/>
          <w:lang w:val="en-GB"/>
        </w:rPr>
      </w:pPr>
    </w:p>
    <w:p w14:paraId="0F45CC21" w14:textId="77777777"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of the rights attaching to the </w:t>
      </w:r>
      <w:r>
        <w:rPr>
          <w:rFonts w:asciiTheme="minorHAnsi" w:hAnsiTheme="minorHAnsi" w:cstheme="minorHAnsi"/>
          <w:sz w:val="20"/>
          <w:lang w:val="en-GB"/>
        </w:rPr>
        <w:t>Bonds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 xml:space="preserve">applicable laws and </w:t>
      </w:r>
      <w:proofErr w:type="gramStart"/>
      <w:r>
        <w:rPr>
          <w:rFonts w:asciiTheme="minorHAnsi" w:hAnsiTheme="minorHAnsi" w:cstheme="minorHAnsi"/>
          <w:sz w:val="20"/>
          <w:lang w:val="en-GB"/>
        </w:rPr>
        <w:t>regulations;</w:t>
      </w:r>
      <w:proofErr w:type="gramEnd"/>
    </w:p>
    <w:p w14:paraId="03B4B973" w14:textId="77777777" w:rsidR="006973B3" w:rsidRPr="00856D25" w:rsidRDefault="006973B3" w:rsidP="00856D25">
      <w:pPr>
        <w:pStyle w:val="Listeavsnitt"/>
        <w:rPr>
          <w:rFonts w:asciiTheme="minorHAnsi" w:hAnsiTheme="minorHAnsi" w:cstheme="minorHAnsi"/>
          <w:sz w:val="20"/>
          <w:lang w:val="en-GB"/>
        </w:rPr>
      </w:pPr>
    </w:p>
    <w:p w14:paraId="473B31BD"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5"/>
      </w:r>
    </w:p>
    <w:p w14:paraId="44F00C02" w14:textId="77777777" w:rsidR="000A303C" w:rsidRPr="000A303C" w:rsidRDefault="000A303C" w:rsidP="000A303C">
      <w:pPr>
        <w:pStyle w:val="Listeavsnitt"/>
        <w:spacing w:after="240"/>
        <w:ind w:left="360"/>
        <w:rPr>
          <w:rFonts w:asciiTheme="minorHAnsi" w:hAnsiTheme="minorHAnsi" w:cstheme="minorHAnsi"/>
          <w:sz w:val="20"/>
          <w:lang w:val="en-GB"/>
        </w:rPr>
      </w:pPr>
    </w:p>
    <w:p w14:paraId="4809753A"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6"/>
      </w:r>
    </w:p>
    <w:p w14:paraId="2DE31D5E" w14:textId="77777777" w:rsidR="000A303C" w:rsidRPr="000A303C" w:rsidRDefault="000A303C" w:rsidP="000A303C">
      <w:pPr>
        <w:pStyle w:val="Listeavsnitt"/>
        <w:spacing w:after="240"/>
        <w:ind w:left="360"/>
        <w:rPr>
          <w:rFonts w:asciiTheme="minorHAnsi" w:hAnsiTheme="minorHAnsi" w:cstheme="minorHAnsi"/>
          <w:sz w:val="20"/>
          <w:lang w:val="en-GB"/>
        </w:rPr>
      </w:pPr>
    </w:p>
    <w:p w14:paraId="7CEA7D2E"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[nothing has occurred since the due diligence call that would result in the information given in such call being untrue, </w:t>
      </w:r>
      <w:proofErr w:type="gramStart"/>
      <w:r w:rsidRPr="000A303C">
        <w:rPr>
          <w:rFonts w:asciiTheme="minorHAnsi" w:hAnsiTheme="minorHAnsi" w:cstheme="minorHAnsi"/>
          <w:sz w:val="20"/>
          <w:lang w:val="en-GB"/>
        </w:rPr>
        <w:t>incomplete</w:t>
      </w:r>
      <w:proofErr w:type="gramEnd"/>
      <w:r w:rsidRPr="000A303C">
        <w:rPr>
          <w:rFonts w:asciiTheme="minorHAnsi" w:hAnsiTheme="minorHAnsi" w:cstheme="minorHAnsi"/>
          <w:sz w:val="20"/>
          <w:lang w:val="en-GB"/>
        </w:rPr>
        <w:t xml:space="preserve"> or misleading as of today's date;]</w:t>
      </w:r>
    </w:p>
    <w:p w14:paraId="4AD14C57" w14:textId="77777777" w:rsidR="000A303C" w:rsidRPr="000A303C" w:rsidRDefault="000A303C" w:rsidP="000A303C">
      <w:pPr>
        <w:pStyle w:val="Listeavsnitt"/>
        <w:spacing w:after="240"/>
        <w:ind w:left="360"/>
        <w:rPr>
          <w:rFonts w:asciiTheme="minorHAnsi" w:hAnsiTheme="minorHAnsi" w:cstheme="minorHAnsi"/>
          <w:sz w:val="20"/>
          <w:lang w:val="en-GB"/>
        </w:rPr>
      </w:pPr>
    </w:p>
    <w:p w14:paraId="184AD0B2"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09350666" w14:textId="60CFA85B" w:rsidR="000A303C" w:rsidRDefault="000A303C" w:rsidP="000A303C">
      <w:pPr>
        <w:pStyle w:val="Listeavsnitt"/>
        <w:spacing w:after="240"/>
        <w:ind w:left="360"/>
        <w:rPr>
          <w:rFonts w:asciiTheme="minorHAnsi" w:hAnsiTheme="minorHAnsi" w:cstheme="minorHAnsi"/>
          <w:sz w:val="20"/>
          <w:lang w:val="en-GB"/>
        </w:rPr>
      </w:pPr>
    </w:p>
    <w:p w14:paraId="197A83DA" w14:textId="77777777" w:rsidR="001272CA" w:rsidRDefault="001272CA" w:rsidP="000A303C">
      <w:pPr>
        <w:pStyle w:val="Listeavsnitt"/>
        <w:spacing w:after="240"/>
        <w:ind w:left="360"/>
        <w:rPr>
          <w:rFonts w:asciiTheme="minorHAnsi" w:hAnsiTheme="minorHAnsi" w:cstheme="minorHAnsi"/>
          <w:sz w:val="20"/>
          <w:lang w:val="en-GB"/>
        </w:rPr>
      </w:pPr>
    </w:p>
    <w:p w14:paraId="2CD183D3" w14:textId="33D7A51F" w:rsidR="002E1F78" w:rsidRDefault="002E1F78" w:rsidP="002E1F78">
      <w:pPr>
        <w:pStyle w:val="Listeavsnitt"/>
        <w:spacing w:after="240"/>
        <w:ind w:left="708"/>
        <w:rPr>
          <w:rFonts w:asciiTheme="minorHAnsi" w:hAnsiTheme="minorHAnsi" w:cstheme="minorHAnsi"/>
          <w:b/>
          <w:bCs/>
          <w:sz w:val="20"/>
          <w:lang w:val="en-GB"/>
        </w:rPr>
      </w:pPr>
      <w:r w:rsidRPr="00F14552">
        <w:rPr>
          <w:rFonts w:asciiTheme="minorHAnsi" w:hAnsiTheme="minorHAnsi" w:cstheme="minorHAnsi"/>
          <w:b/>
          <w:bCs/>
          <w:sz w:val="20"/>
          <w:lang w:val="en-GB"/>
        </w:rPr>
        <w:t xml:space="preserve">B. </w:t>
      </w:r>
      <w:r w:rsidR="00AE6B0A">
        <w:rPr>
          <w:rFonts w:asciiTheme="minorHAnsi" w:hAnsiTheme="minorHAnsi" w:cstheme="minorHAnsi"/>
          <w:b/>
          <w:bCs/>
          <w:sz w:val="20"/>
          <w:lang w:val="en-GB"/>
        </w:rPr>
        <w:tab/>
      </w:r>
      <w:r w:rsidRPr="00F14552">
        <w:rPr>
          <w:rFonts w:asciiTheme="minorHAnsi" w:hAnsiTheme="minorHAnsi" w:cstheme="minorHAnsi"/>
          <w:b/>
          <w:bCs/>
          <w:sz w:val="20"/>
          <w:lang w:val="en-GB"/>
        </w:rPr>
        <w:t>Assets and encumbrances</w:t>
      </w:r>
    </w:p>
    <w:p w14:paraId="7CBB0D64" w14:textId="77777777" w:rsidR="002E1F78" w:rsidRPr="000A303C" w:rsidRDefault="002E1F78" w:rsidP="009E3FAD">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 Client has legal and beneficial ownership rights to its assets and all assets are free of pledges, liens, charges and encumbrances of any kind ("</w:t>
      </w:r>
      <w:r w:rsidRPr="000A303C">
        <w:rPr>
          <w:rFonts w:asciiTheme="minorHAnsi" w:hAnsiTheme="minorHAnsi" w:cstheme="minorHAnsi"/>
          <w:b/>
          <w:sz w:val="20"/>
          <w:lang w:val="en-GB"/>
        </w:rPr>
        <w:t>Encumbrances</w:t>
      </w:r>
      <w:r w:rsidRPr="000A303C">
        <w:rPr>
          <w:rFonts w:asciiTheme="minorHAnsi" w:hAnsiTheme="minorHAnsi" w:cstheme="minorHAnsi"/>
          <w:sz w:val="20"/>
          <w:lang w:val="en-GB"/>
        </w:rPr>
        <w:t xml:space="preserve">"), other than Encumbrances which will be permitted pursuant to the terms of the Bonds (or discharged in connection with the </w:t>
      </w:r>
      <w:r>
        <w:rPr>
          <w:rFonts w:asciiTheme="minorHAnsi" w:hAnsiTheme="minorHAnsi" w:cstheme="minorHAnsi"/>
          <w:sz w:val="20"/>
          <w:lang w:val="en-GB"/>
        </w:rPr>
        <w:t>Transaction</w:t>
      </w:r>
      <w:proofErr w:type="gramStart"/>
      <w:r w:rsidRPr="000A303C">
        <w:rPr>
          <w:rFonts w:asciiTheme="minorHAnsi" w:hAnsiTheme="minorHAnsi" w:cstheme="minorHAnsi"/>
          <w:sz w:val="20"/>
          <w:lang w:val="en-GB"/>
        </w:rPr>
        <w:t>);</w:t>
      </w:r>
      <w:proofErr w:type="gramEnd"/>
    </w:p>
    <w:p w14:paraId="2EFDC112" w14:textId="77777777" w:rsidR="002E1F78" w:rsidRPr="000A303C" w:rsidRDefault="002E1F78" w:rsidP="002E1F78">
      <w:pPr>
        <w:pStyle w:val="Listeavsnitt"/>
        <w:spacing w:after="240"/>
        <w:ind w:left="360"/>
        <w:rPr>
          <w:rFonts w:asciiTheme="minorHAnsi" w:hAnsiTheme="minorHAnsi" w:cstheme="minorHAnsi"/>
          <w:sz w:val="20"/>
          <w:lang w:val="en-GB"/>
        </w:rPr>
      </w:pPr>
    </w:p>
    <w:p w14:paraId="68E4E8FD" w14:textId="77777777" w:rsidR="001272CA" w:rsidRDefault="001272CA" w:rsidP="000A303C">
      <w:pPr>
        <w:pStyle w:val="Listeavsnitt"/>
        <w:spacing w:after="240"/>
        <w:ind w:left="360"/>
        <w:rPr>
          <w:rFonts w:asciiTheme="minorHAnsi" w:hAnsiTheme="minorHAnsi" w:cstheme="minorHAnsi"/>
          <w:b/>
          <w:bCs/>
          <w:sz w:val="20"/>
          <w:lang w:val="en-GB"/>
        </w:rPr>
      </w:pPr>
    </w:p>
    <w:p w14:paraId="34C687A3" w14:textId="3B688589" w:rsidR="002E1F78" w:rsidRPr="003B2A5C" w:rsidRDefault="003B2A5C" w:rsidP="009E3FAD">
      <w:pPr>
        <w:pStyle w:val="Listeavsnitt"/>
        <w:spacing w:after="240"/>
        <w:ind w:left="360" w:firstLine="348"/>
        <w:rPr>
          <w:rFonts w:asciiTheme="minorHAnsi" w:hAnsiTheme="minorHAnsi" w:cstheme="minorHAnsi"/>
          <w:b/>
          <w:bCs/>
          <w:sz w:val="20"/>
          <w:lang w:val="en-GB"/>
        </w:rPr>
      </w:pPr>
      <w:r w:rsidRPr="003B2A5C">
        <w:rPr>
          <w:rFonts w:asciiTheme="minorHAnsi" w:hAnsiTheme="minorHAnsi" w:cstheme="minorHAnsi"/>
          <w:b/>
          <w:bCs/>
          <w:sz w:val="20"/>
          <w:lang w:val="en-GB"/>
        </w:rPr>
        <w:t>C.</w:t>
      </w:r>
      <w:r w:rsidR="00AE6B0A">
        <w:rPr>
          <w:rFonts w:asciiTheme="minorHAnsi" w:hAnsiTheme="minorHAnsi" w:cstheme="minorHAnsi"/>
          <w:b/>
          <w:bCs/>
          <w:sz w:val="20"/>
          <w:lang w:val="en-GB"/>
        </w:rPr>
        <w:t xml:space="preserve"> </w:t>
      </w:r>
      <w:r w:rsidR="00AE6B0A">
        <w:rPr>
          <w:rFonts w:asciiTheme="minorHAnsi" w:hAnsiTheme="minorHAnsi" w:cstheme="minorHAnsi"/>
          <w:b/>
          <w:bCs/>
          <w:sz w:val="20"/>
          <w:lang w:val="en-GB"/>
        </w:rPr>
        <w:tab/>
      </w:r>
      <w:r w:rsidRPr="003B2A5C">
        <w:rPr>
          <w:rFonts w:asciiTheme="minorHAnsi" w:hAnsiTheme="minorHAnsi" w:cstheme="minorHAnsi"/>
          <w:b/>
          <w:bCs/>
          <w:sz w:val="20"/>
          <w:lang w:val="en-GB"/>
        </w:rPr>
        <w:t>Regulatory compliance</w:t>
      </w:r>
    </w:p>
    <w:p w14:paraId="52432057"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743C86AA" w14:textId="77777777" w:rsidR="00EC04B6" w:rsidRPr="00EC04B6" w:rsidRDefault="00EC04B6" w:rsidP="00EC04B6">
      <w:pPr>
        <w:pStyle w:val="Listeavsnitt"/>
        <w:rPr>
          <w:rFonts w:asciiTheme="minorHAnsi" w:hAnsiTheme="minorHAnsi" w:cstheme="minorHAnsi"/>
          <w:sz w:val="20"/>
          <w:lang w:val="en-GB"/>
        </w:rPr>
      </w:pPr>
    </w:p>
    <w:p w14:paraId="51071886" w14:textId="77777777" w:rsidR="00EC04B6" w:rsidRPr="000A303C" w:rsidRDefault="00EC04B6" w:rsidP="009E3FAD">
      <w:pPr>
        <w:pStyle w:val="Listeavsnitt"/>
        <w:numPr>
          <w:ilvl w:val="0"/>
          <w:numId w:val="39"/>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Pr>
          <w:rFonts w:asciiTheme="minorHAnsi" w:hAnsiTheme="minorHAnsi" w:cstheme="minorHAnsi"/>
          <w:sz w:val="20"/>
          <w:lang w:val="en-GB"/>
        </w:rPr>
        <w:t xml:space="preserve">each of 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qualified under the laws of each other jurisdiction in which it owns or leases properties or conducts any business so as to require such qualification, or is subject to no material liability or disability by reason of the failure to be so qualified in any such </w:t>
      </w:r>
      <w:proofErr w:type="gramStart"/>
      <w:r w:rsidRPr="003F56CF">
        <w:rPr>
          <w:rFonts w:asciiTheme="minorHAnsi" w:hAnsiTheme="minorHAnsi" w:cstheme="minorHAnsi"/>
          <w:sz w:val="20"/>
          <w:lang w:val="en-GB"/>
        </w:rPr>
        <w:t>jurisdiction;</w:t>
      </w:r>
      <w:proofErr w:type="gramEnd"/>
      <w:r w:rsidRPr="003F56CF">
        <w:rPr>
          <w:rFonts w:asciiTheme="minorHAnsi" w:hAnsiTheme="minorHAnsi" w:cstheme="minorHAnsi"/>
          <w:sz w:val="20"/>
          <w:lang w:val="en-GB"/>
        </w:rPr>
        <w:t xml:space="preserve"> </w:t>
      </w:r>
    </w:p>
    <w:p w14:paraId="1844B4C2" w14:textId="77777777" w:rsidR="00EC04B6" w:rsidRPr="000A303C" w:rsidRDefault="00EC04B6" w:rsidP="00EC04B6">
      <w:pPr>
        <w:pStyle w:val="Listeavsnitt"/>
        <w:spacing w:after="240"/>
        <w:ind w:left="360"/>
        <w:rPr>
          <w:rFonts w:asciiTheme="minorHAnsi" w:hAnsiTheme="minorHAnsi" w:cstheme="minorHAnsi"/>
          <w:sz w:val="20"/>
          <w:lang w:val="en-GB"/>
        </w:rPr>
      </w:pPr>
    </w:p>
    <w:p w14:paraId="1ED7356B" w14:textId="77777777" w:rsidR="00EC04B6" w:rsidRPr="00EC04B6" w:rsidRDefault="00EC04B6" w:rsidP="009E3FAD">
      <w:pPr>
        <w:pStyle w:val="Listeavsnitt"/>
        <w:numPr>
          <w:ilvl w:val="0"/>
          <w:numId w:val="39"/>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Pr="00E92551">
        <w:rPr>
          <w:rFonts w:asciiTheme="minorHAnsi" w:hAnsiTheme="minorHAnsi" w:cstheme="minorHAnsi"/>
          <w:sz w:val="20"/>
          <w:lang w:val="en-GB"/>
        </w:rPr>
        <w:t>as well as the</w:t>
      </w:r>
      <w:r>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proofErr w:type="gramStart"/>
      <w:r w:rsidRPr="003F56CF">
        <w:rPr>
          <w:rFonts w:asciiTheme="minorHAnsi" w:hAnsiTheme="minorHAnsi" w:cstheme="minorHAnsi"/>
          <w:sz w:val="20"/>
          <w:lang w:val="en-GB"/>
        </w:rPr>
        <w:t>employee</w:t>
      </w:r>
      <w:r w:rsidRPr="00E92551">
        <w:rPr>
          <w:rFonts w:asciiTheme="minorHAnsi" w:hAnsiTheme="minorHAnsi" w:cstheme="minorHAnsi"/>
          <w:sz w:val="20"/>
          <w:lang w:val="en-GB"/>
        </w:rPr>
        <w:t>s</w:t>
      </w:r>
      <w:proofErr w:type="gramEnd"/>
      <w:r w:rsidRPr="00E92551">
        <w:rPr>
          <w:rFonts w:asciiTheme="minorHAnsi" w:hAnsiTheme="minorHAnsi" w:cstheme="minorHAnsi"/>
          <w:sz w:val="20"/>
          <w:lang w:val="en-GB"/>
        </w:rPr>
        <w:t xml:space="preserve"> and</w:t>
      </w:r>
      <w:r w:rsidRPr="003F56CF">
        <w:rPr>
          <w:rFonts w:asciiTheme="minorHAnsi" w:hAnsiTheme="minorHAnsi" w:cstheme="minorHAnsi"/>
          <w:sz w:val="20"/>
          <w:lang w:val="en-GB"/>
        </w:rPr>
        <w:t xml:space="preserve"> other representative</w:t>
      </w:r>
      <w:r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r w:rsidRPr="00E92551">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Pr="00E92551">
        <w:rPr>
          <w:rFonts w:asciiTheme="minorHAnsi" w:hAnsiTheme="minorHAnsi" w:cstheme="minorHAnsi"/>
          <w:sz w:val="20"/>
          <w:lang w:val="en-GB"/>
        </w:rPr>
        <w:t xml:space="preserve">and will conduct </w:t>
      </w:r>
      <w:r>
        <w:rPr>
          <w:rFonts w:asciiTheme="minorHAnsi" w:hAnsiTheme="minorHAnsi" w:cstheme="minorHAnsi"/>
          <w:sz w:val="20"/>
          <w:lang w:val="en-GB"/>
        </w:rPr>
        <w:t>the</w:t>
      </w:r>
      <w:r w:rsidRPr="003F56CF">
        <w:rPr>
          <w:rFonts w:asciiTheme="minorHAnsi" w:hAnsiTheme="minorHAnsi" w:cstheme="minorHAnsi"/>
          <w:sz w:val="20"/>
          <w:lang w:val="en-GB"/>
        </w:rPr>
        <w:t xml:space="preserve"> business</w:t>
      </w:r>
      <w:r>
        <w:rPr>
          <w:rFonts w:asciiTheme="minorHAnsi" w:hAnsiTheme="minorHAnsi" w:cstheme="minorHAnsi"/>
          <w:sz w:val="20"/>
          <w:lang w:val="en-GB"/>
        </w:rPr>
        <w:t>es of the Client and its subsidiaries</w:t>
      </w:r>
      <w:r w:rsidRPr="003F56CF">
        <w:rPr>
          <w:rFonts w:asciiTheme="minorHAnsi" w:hAnsiTheme="minorHAnsi" w:cstheme="minorHAnsi"/>
          <w:sz w:val="20"/>
          <w:lang w:val="en-GB"/>
        </w:rPr>
        <w:t xml:space="preserve"> in </w:t>
      </w:r>
      <w:r w:rsidRPr="003F56CF">
        <w:rPr>
          <w:rFonts w:asciiTheme="minorHAnsi" w:hAnsiTheme="minorHAnsi" w:cstheme="minorHAnsi"/>
          <w:sz w:val="20"/>
          <w:lang w:val="en-GB"/>
        </w:rPr>
        <w:lastRenderedPageBreak/>
        <w:t xml:space="preserve">compliance </w:t>
      </w:r>
      <w:r w:rsidRPr="00E92551">
        <w:rPr>
          <w:rFonts w:asciiTheme="minorHAnsi" w:hAnsiTheme="minorHAnsi" w:cstheme="minorHAnsi"/>
          <w:sz w:val="20"/>
          <w:lang w:val="en-GB"/>
        </w:rPr>
        <w:t>with applicable Anti-corruption L</w:t>
      </w:r>
      <w:r w:rsidRPr="003F56CF">
        <w:rPr>
          <w:rFonts w:asciiTheme="minorHAnsi" w:hAnsiTheme="minorHAnsi" w:cstheme="minorHAnsi"/>
          <w:sz w:val="20"/>
          <w:lang w:val="en-GB"/>
        </w:rPr>
        <w:t xml:space="preserve">aws and </w:t>
      </w:r>
      <w:r>
        <w:rPr>
          <w:rFonts w:asciiTheme="minorHAnsi" w:hAnsiTheme="minorHAnsi" w:cstheme="minorHAnsi"/>
          <w:sz w:val="20"/>
          <w:lang w:val="en-GB"/>
        </w:rPr>
        <w:t xml:space="preserve">the Client and its subsidiaries </w:t>
      </w:r>
      <w:r w:rsidRPr="003F56CF">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instituted</w:t>
      </w:r>
      <w:r>
        <w:rPr>
          <w:rFonts w:asciiTheme="minorHAnsi" w:hAnsiTheme="minorHAnsi" w:cstheme="minorHAnsi"/>
          <w:sz w:val="20"/>
          <w:lang w:val="en-GB"/>
        </w:rPr>
        <w:t xml:space="preserve"> and maintained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proofErr w:type="gramEnd"/>
    </w:p>
    <w:p w14:paraId="41291387" w14:textId="77777777" w:rsidR="00EC04B6" w:rsidRPr="00EC04B6" w:rsidRDefault="00EC04B6" w:rsidP="00EC04B6">
      <w:pPr>
        <w:pStyle w:val="Listeavsnitt"/>
        <w:spacing w:after="240"/>
        <w:ind w:left="360"/>
        <w:rPr>
          <w:rFonts w:asciiTheme="minorHAnsi" w:hAnsiTheme="minorHAnsi" w:cstheme="minorHAnsi"/>
          <w:sz w:val="20"/>
          <w:lang w:val="en-GB"/>
        </w:rPr>
      </w:pPr>
    </w:p>
    <w:p w14:paraId="5FDEEAB9" w14:textId="77777777" w:rsidR="000A303C" w:rsidRPr="00EC04B6" w:rsidRDefault="00EC04B6"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anti-money laundering </w:t>
      </w:r>
      <w:r>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Pr>
          <w:rFonts w:asciiTheme="minorHAnsi" w:hAnsiTheme="minorHAnsi" w:cstheme="minorHAnsi"/>
          <w:sz w:val="20"/>
          <w:lang w:val="en-GB"/>
        </w:rPr>
        <w:t xml:space="preserve">such laws, rules, </w:t>
      </w:r>
      <w:r w:rsidRPr="002B7F4E">
        <w:rPr>
          <w:rFonts w:asciiTheme="minorHAnsi" w:hAnsiTheme="minorHAnsi" w:cstheme="minorHAnsi"/>
          <w:sz w:val="20"/>
          <w:lang w:val="en-GB"/>
        </w:rPr>
        <w:t>regulations and guid</w:t>
      </w:r>
      <w:r>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5DF9C65" w14:textId="77777777" w:rsidR="000A303C" w:rsidRPr="000A303C" w:rsidRDefault="000A303C" w:rsidP="000A303C">
      <w:pPr>
        <w:pStyle w:val="Listeavsnitt"/>
        <w:spacing w:after="240"/>
        <w:ind w:left="360"/>
        <w:rPr>
          <w:rFonts w:asciiTheme="minorHAnsi" w:hAnsiTheme="minorHAnsi" w:cstheme="minorHAnsi"/>
          <w:sz w:val="20"/>
          <w:lang w:val="en-GB"/>
        </w:rPr>
      </w:pPr>
    </w:p>
    <w:p w14:paraId="6E7F725B" w14:textId="77777777" w:rsidR="000A303C" w:rsidRP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director, officer, employee, </w:t>
      </w:r>
      <w:proofErr w:type="gramStart"/>
      <w:r w:rsidRPr="000A303C">
        <w:rPr>
          <w:rFonts w:asciiTheme="minorHAnsi" w:hAnsiTheme="minorHAnsi" w:cstheme="minorHAnsi"/>
          <w:sz w:val="20"/>
          <w:lang w:val="en-GB"/>
        </w:rPr>
        <w:t>affiliate</w:t>
      </w:r>
      <w:proofErr w:type="gramEnd"/>
      <w:r w:rsidRPr="000A303C">
        <w:rPr>
          <w:rFonts w:asciiTheme="minorHAnsi" w:hAnsiTheme="minorHAnsi" w:cstheme="minorHAnsi"/>
          <w:sz w:val="20"/>
          <w:lang w:val="en-GB"/>
        </w:rPr>
        <w:t xml:space="preserv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2A52F895"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1738C8"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 xml:space="preserve">Her Majesty's </w:t>
      </w:r>
      <w:proofErr w:type="gramStart"/>
      <w:r w:rsidR="00F87062" w:rsidRPr="00F87062">
        <w:rPr>
          <w:rFonts w:asciiTheme="minorHAnsi" w:hAnsiTheme="minorHAnsi" w:cstheme="minorHAnsi"/>
          <w:sz w:val="20"/>
          <w:lang w:val="en-GB"/>
        </w:rPr>
        <w:t>Treasury</w:t>
      </w:r>
      <w:proofErr w:type="gramEnd"/>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31EA2387" w14:textId="77777777" w:rsidR="000A303C" w:rsidRPr="000A303C" w:rsidRDefault="000A303C" w:rsidP="000A303C">
      <w:pPr>
        <w:pStyle w:val="Listeavsnitt"/>
        <w:spacing w:after="240"/>
        <w:rPr>
          <w:rFonts w:asciiTheme="minorHAnsi" w:hAnsiTheme="minorHAnsi" w:cstheme="minorHAnsi"/>
          <w:sz w:val="20"/>
          <w:lang w:val="en-GB"/>
        </w:rPr>
      </w:pPr>
    </w:p>
    <w:p w14:paraId="7E61C7D5"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located, organized or resident in a country or territory that is the subject of Sanctions</w:t>
      </w:r>
      <w:r w:rsidR="005F5C30">
        <w:rPr>
          <w:rFonts w:asciiTheme="minorHAnsi" w:hAnsiTheme="minorHAnsi" w:cstheme="minorHAnsi"/>
          <w:sz w:val="20"/>
          <w:lang w:val="en-GB"/>
        </w:rPr>
        <w:t>.</w:t>
      </w:r>
    </w:p>
    <w:p w14:paraId="083C35C3" w14:textId="77777777" w:rsidR="000A303C" w:rsidRPr="000A303C" w:rsidRDefault="000A303C" w:rsidP="000A303C">
      <w:pPr>
        <w:pStyle w:val="Listeavsnitt"/>
        <w:spacing w:after="240"/>
        <w:rPr>
          <w:rFonts w:asciiTheme="minorHAnsi" w:hAnsiTheme="minorHAnsi" w:cstheme="minorHAnsi"/>
          <w:sz w:val="20"/>
          <w:lang w:val="en-GB"/>
        </w:rPr>
      </w:pPr>
    </w:p>
    <w:p w14:paraId="08E7253A"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8BDC11" w14:textId="77777777" w:rsidR="00FA5D9C" w:rsidRDefault="00FA5D9C" w:rsidP="00FA5D9C">
      <w:pPr>
        <w:pStyle w:val="Listeavsnitt"/>
        <w:spacing w:after="240"/>
        <w:ind w:left="360"/>
        <w:rPr>
          <w:rFonts w:asciiTheme="minorHAnsi" w:hAnsiTheme="minorHAnsi" w:cstheme="minorHAnsi"/>
          <w:sz w:val="20"/>
          <w:lang w:val="en-GB"/>
        </w:rPr>
      </w:pPr>
    </w:p>
    <w:p w14:paraId="5E864247" w14:textId="25F194B6" w:rsidR="00FA5D9C" w:rsidRPr="00FA5D9C" w:rsidRDefault="00FA5D9C"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2E10FC">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5FA99048" w14:textId="77777777" w:rsidR="000A303C" w:rsidRPr="000A303C" w:rsidRDefault="000A303C" w:rsidP="000A303C">
      <w:pPr>
        <w:pStyle w:val="Listeavsnitt"/>
        <w:spacing w:after="240"/>
        <w:ind w:left="360"/>
        <w:rPr>
          <w:rFonts w:asciiTheme="minorHAnsi" w:hAnsiTheme="minorHAnsi" w:cstheme="minorHAnsi"/>
          <w:sz w:val="20"/>
          <w:lang w:val="en-GB"/>
        </w:rPr>
      </w:pPr>
    </w:p>
    <w:p w14:paraId="098C347A" w14:textId="77777777" w:rsidR="002B0BA0" w:rsidRPr="000A303C" w:rsidRDefault="002B0BA0" w:rsidP="009E3FAD">
      <w:pPr>
        <w:pStyle w:val="Listeavsnitt"/>
        <w:numPr>
          <w:ilvl w:val="0"/>
          <w:numId w:val="39"/>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3A41D3">
        <w:rPr>
          <w:rFonts w:asciiTheme="minorHAnsi" w:hAnsiTheme="minorHAnsi" w:cstheme="minorHAnsi"/>
          <w:sz w:val="20"/>
          <w:lang w:val="en-GB"/>
        </w:rPr>
        <w:t>The Client’s auditor has made no comments or reservations in its auditor’s reports (</w:t>
      </w:r>
      <w:proofErr w:type="spellStart"/>
      <w:r w:rsidR="003A41D3">
        <w:rPr>
          <w:rFonts w:asciiTheme="minorHAnsi" w:hAnsiTheme="minorHAnsi" w:cstheme="minorHAnsi"/>
          <w:sz w:val="20"/>
          <w:lang w:val="en-GB"/>
        </w:rPr>
        <w:t>Nw</w:t>
      </w:r>
      <w:proofErr w:type="spellEnd"/>
      <w:r w:rsidR="003A41D3">
        <w:rPr>
          <w:rFonts w:asciiTheme="minorHAnsi" w:hAnsiTheme="minorHAnsi" w:cstheme="minorHAnsi"/>
          <w:sz w:val="20"/>
          <w:lang w:val="en-GB"/>
        </w:rPr>
        <w:t xml:space="preserve">: </w:t>
      </w:r>
      <w:r w:rsidR="003A41D3">
        <w:rPr>
          <w:rFonts w:asciiTheme="minorHAnsi" w:hAnsiTheme="minorHAnsi" w:cstheme="minorHAnsi"/>
          <w:i/>
          <w:sz w:val="20"/>
          <w:lang w:val="en-GB"/>
        </w:rPr>
        <w:t>“</w:t>
      </w:r>
      <w:proofErr w:type="spellStart"/>
      <w:r w:rsidR="003A41D3">
        <w:rPr>
          <w:rFonts w:asciiTheme="minorHAnsi" w:hAnsiTheme="minorHAnsi" w:cstheme="minorHAnsi"/>
          <w:i/>
          <w:sz w:val="20"/>
          <w:lang w:val="en-GB"/>
        </w:rPr>
        <w:t>revisjonsberetninger</w:t>
      </w:r>
      <w:proofErr w:type="spellEnd"/>
      <w:r w:rsidR="003A41D3">
        <w:rPr>
          <w:rFonts w:asciiTheme="minorHAnsi" w:hAnsiTheme="minorHAnsi" w:cstheme="minorHAnsi"/>
          <w:i/>
          <w:sz w:val="20"/>
          <w:lang w:val="en-GB"/>
        </w:rPr>
        <w:t>”</w:t>
      </w:r>
      <w:r w:rsidR="003A41D3">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62C5F05A" w14:textId="77777777" w:rsidR="009B13FD" w:rsidRPr="00856D25" w:rsidRDefault="009B13FD" w:rsidP="00856D25">
      <w:pPr>
        <w:rPr>
          <w:rFonts w:asciiTheme="minorHAnsi" w:hAnsiTheme="minorHAnsi" w:cstheme="minorHAnsi"/>
          <w:sz w:val="20"/>
          <w:lang w:val="en-GB"/>
        </w:rPr>
      </w:pPr>
    </w:p>
    <w:p w14:paraId="5EA2AA33" w14:textId="77777777" w:rsidR="009B13FD" w:rsidRPr="000A303C"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216849E2" w14:textId="77777777" w:rsidR="009B13FD" w:rsidRDefault="009B13FD" w:rsidP="00856D25">
      <w:pPr>
        <w:pStyle w:val="Listeavsnitt"/>
        <w:spacing w:after="240"/>
        <w:ind w:left="360"/>
        <w:rPr>
          <w:rFonts w:asciiTheme="minorHAnsi" w:hAnsiTheme="minorHAnsi" w:cstheme="minorHAnsi"/>
          <w:sz w:val="20"/>
          <w:lang w:val="en-GB"/>
        </w:rPr>
      </w:pPr>
    </w:p>
    <w:p w14:paraId="38E73766" w14:textId="30CB2141" w:rsidR="009B13FD"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is carrying on its business in accordance with all applicable laws and regulations, licences, permits, </w:t>
      </w:r>
      <w:proofErr w:type="gramStart"/>
      <w:r w:rsidRPr="000A303C">
        <w:rPr>
          <w:rFonts w:asciiTheme="minorHAnsi" w:hAnsiTheme="minorHAnsi" w:cstheme="minorHAnsi"/>
          <w:sz w:val="20"/>
          <w:lang w:val="en-GB"/>
        </w:rPr>
        <w:t>consents</w:t>
      </w:r>
      <w:proofErr w:type="gramEnd"/>
      <w:r w:rsidRPr="000A303C">
        <w:rPr>
          <w:rFonts w:asciiTheme="minorHAnsi" w:hAnsiTheme="minorHAnsi" w:cstheme="minorHAnsi"/>
          <w:sz w:val="20"/>
          <w:lang w:val="en-GB"/>
        </w:rPr>
        <w:t xml:space="preserve">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46BC76B2" w14:textId="77777777" w:rsidR="00696AEF" w:rsidRPr="0017068D" w:rsidRDefault="00696AEF" w:rsidP="0017068D">
      <w:pPr>
        <w:pStyle w:val="Listeavsnitt"/>
        <w:rPr>
          <w:rFonts w:asciiTheme="minorHAnsi" w:hAnsiTheme="minorHAnsi" w:cstheme="minorHAnsi"/>
          <w:sz w:val="20"/>
          <w:lang w:val="en-GB"/>
        </w:rPr>
      </w:pPr>
    </w:p>
    <w:p w14:paraId="6CFD319A" w14:textId="52C257F4" w:rsidR="00696AEF" w:rsidRPr="00087108" w:rsidRDefault="00696AEF" w:rsidP="00696AEF">
      <w:pPr>
        <w:pStyle w:val="Listeavsnitt"/>
        <w:numPr>
          <w:ilvl w:val="0"/>
          <w:numId w:val="39"/>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the Client has, if relevant, implemented adequate measures to reduce the risk of adverse impact on fundamental human rights and decent working conditions</w:t>
      </w:r>
      <w:r w:rsidR="00925E85">
        <w:rPr>
          <w:rFonts w:asciiTheme="minorHAnsi" w:hAnsiTheme="minorHAnsi" w:cstheme="minorHAnsi"/>
          <w:sz w:val="20"/>
          <w:lang w:val="en-GB" w:eastAsia="en-US"/>
        </w:rPr>
        <w:t>.</w:t>
      </w:r>
      <w:r w:rsidRPr="00087108">
        <w:rPr>
          <w:rFonts w:asciiTheme="minorHAnsi" w:hAnsiTheme="minorHAnsi" w:cstheme="minorHAnsi"/>
          <w:sz w:val="20"/>
          <w:lang w:val="en-GB" w:eastAsia="en-US"/>
        </w:rPr>
        <w:t xml:space="preserve"> </w:t>
      </w:r>
      <w:r w:rsidRPr="00087108">
        <w:rPr>
          <w:rFonts w:asciiTheme="minorHAnsi" w:hAnsiTheme="minorHAnsi" w:cstheme="minorHAnsi"/>
          <w:sz w:val="20"/>
          <w:lang w:val="en-GB"/>
        </w:rPr>
        <w:t xml:space="preserve"> </w:t>
      </w:r>
    </w:p>
    <w:p w14:paraId="11716856" w14:textId="77777777" w:rsidR="00696AEF" w:rsidRDefault="00696AEF" w:rsidP="0017068D">
      <w:pPr>
        <w:pStyle w:val="Listeavsnitt"/>
        <w:spacing w:after="240"/>
        <w:ind w:left="360"/>
        <w:rPr>
          <w:rFonts w:asciiTheme="minorHAnsi" w:hAnsiTheme="minorHAnsi" w:cstheme="minorHAnsi"/>
          <w:sz w:val="20"/>
          <w:lang w:val="en-GB"/>
        </w:rPr>
      </w:pPr>
    </w:p>
    <w:p w14:paraId="7BC7914D" w14:textId="77777777" w:rsidR="001272CA" w:rsidRDefault="001272CA" w:rsidP="00027752">
      <w:pPr>
        <w:pStyle w:val="Listeavsnitt"/>
        <w:spacing w:after="240"/>
        <w:ind w:left="360"/>
        <w:rPr>
          <w:rFonts w:asciiTheme="minorHAnsi" w:hAnsiTheme="minorHAnsi" w:cstheme="minorHAnsi"/>
          <w:sz w:val="20"/>
          <w:lang w:val="en-GB"/>
        </w:rPr>
      </w:pPr>
    </w:p>
    <w:p w14:paraId="0B324996" w14:textId="4D20608B" w:rsidR="002C3218" w:rsidRPr="002C3218" w:rsidRDefault="002C3218" w:rsidP="002C3218">
      <w:pPr>
        <w:spacing w:after="240"/>
        <w:ind w:left="360"/>
        <w:rPr>
          <w:rFonts w:asciiTheme="minorHAnsi" w:hAnsiTheme="minorHAnsi" w:cstheme="minorHAnsi"/>
          <w:b/>
          <w:bCs/>
          <w:sz w:val="20"/>
          <w:lang w:val="en-GB"/>
        </w:rPr>
      </w:pPr>
      <w:r w:rsidRPr="002C3218">
        <w:rPr>
          <w:rFonts w:asciiTheme="minorHAnsi" w:hAnsiTheme="minorHAnsi" w:cstheme="minorHAnsi"/>
          <w:b/>
          <w:bCs/>
          <w:sz w:val="20"/>
          <w:lang w:val="en-GB"/>
        </w:rPr>
        <w:t xml:space="preserve">D. </w:t>
      </w:r>
      <w:r w:rsidR="001272CA">
        <w:rPr>
          <w:rFonts w:asciiTheme="minorHAnsi" w:hAnsiTheme="minorHAnsi" w:cstheme="minorHAnsi"/>
          <w:b/>
          <w:bCs/>
          <w:sz w:val="20"/>
          <w:lang w:val="en-GB"/>
        </w:rPr>
        <w:tab/>
      </w:r>
      <w:r w:rsidRPr="002C3218">
        <w:rPr>
          <w:rFonts w:asciiTheme="minorHAnsi" w:hAnsiTheme="minorHAnsi" w:cstheme="minorHAnsi"/>
          <w:b/>
          <w:bCs/>
          <w:sz w:val="20"/>
          <w:lang w:val="en-GB"/>
        </w:rPr>
        <w:t>The Bonds</w:t>
      </w:r>
    </w:p>
    <w:p w14:paraId="7A657166" w14:textId="333922A8" w:rsidR="002C3218" w:rsidRDefault="004B544D" w:rsidP="004B544D">
      <w:pPr>
        <w:spacing w:after="240"/>
        <w:ind w:left="360" w:hanging="360"/>
        <w:rPr>
          <w:rFonts w:asciiTheme="minorHAnsi" w:hAnsiTheme="minorHAnsi" w:cstheme="minorHAnsi"/>
          <w:sz w:val="20"/>
          <w:lang w:val="en-GB"/>
        </w:rPr>
      </w:pPr>
      <w:r>
        <w:rPr>
          <w:rFonts w:asciiTheme="minorHAnsi" w:hAnsiTheme="minorHAnsi" w:cstheme="minorHAnsi"/>
          <w:sz w:val="20"/>
          <w:lang w:val="en-GB"/>
        </w:rPr>
        <w:t>1.</w:t>
      </w:r>
      <w:r>
        <w:rPr>
          <w:rFonts w:asciiTheme="minorHAnsi" w:hAnsiTheme="minorHAnsi" w:cstheme="minorHAnsi"/>
          <w:sz w:val="20"/>
          <w:lang w:val="en-GB"/>
        </w:rPr>
        <w:tab/>
      </w:r>
      <w:r w:rsidR="002C3218" w:rsidRPr="004B544D">
        <w:rPr>
          <w:rFonts w:asciiTheme="minorHAnsi" w:hAnsiTheme="minorHAnsi" w:cstheme="minorHAnsi"/>
          <w:sz w:val="20"/>
          <w:lang w:val="en-GB"/>
        </w:rPr>
        <w:t xml:space="preserve">the Bonds will upon completion of the Transaction be, and all other securities issued by the Client are, validly and legally </w:t>
      </w:r>
      <w:proofErr w:type="gramStart"/>
      <w:r w:rsidR="002C3218" w:rsidRPr="004B544D">
        <w:rPr>
          <w:rFonts w:asciiTheme="minorHAnsi" w:hAnsiTheme="minorHAnsi" w:cstheme="minorHAnsi"/>
          <w:sz w:val="20"/>
          <w:lang w:val="en-GB"/>
        </w:rPr>
        <w:t>issued;</w:t>
      </w:r>
      <w:proofErr w:type="gramEnd"/>
    </w:p>
    <w:p w14:paraId="7B8541E7" w14:textId="77777777" w:rsidR="00622C66" w:rsidRDefault="00622C66" w:rsidP="00622C66">
      <w:pPr>
        <w:pStyle w:val="Listeavsnitt"/>
        <w:spacing w:after="240"/>
        <w:ind w:left="360"/>
        <w:rPr>
          <w:rFonts w:asciiTheme="minorHAnsi" w:hAnsiTheme="minorHAnsi" w:cstheme="minorHAnsi"/>
          <w:b/>
          <w:bCs/>
          <w:sz w:val="20"/>
          <w:lang w:val="en-GB"/>
        </w:rPr>
      </w:pPr>
    </w:p>
    <w:p w14:paraId="43190DF4" w14:textId="423E2D8F" w:rsidR="00622C66" w:rsidRDefault="00654BA7" w:rsidP="00622C66">
      <w:pPr>
        <w:pStyle w:val="Listeavsnitt"/>
        <w:spacing w:after="240"/>
        <w:ind w:left="360"/>
        <w:rPr>
          <w:rFonts w:asciiTheme="minorHAnsi" w:hAnsiTheme="minorHAnsi" w:cstheme="minorHAnsi"/>
          <w:b/>
          <w:bCs/>
          <w:sz w:val="20"/>
          <w:lang w:val="en-GB"/>
        </w:rPr>
      </w:pPr>
      <w:r w:rsidRPr="001F1480">
        <w:rPr>
          <w:rFonts w:asciiTheme="minorHAnsi" w:hAnsiTheme="minorHAnsi" w:cstheme="minorHAnsi"/>
          <w:b/>
          <w:bCs/>
          <w:sz w:val="20"/>
          <w:lang w:val="en-GB"/>
        </w:rPr>
        <w:t>E.</w:t>
      </w:r>
      <w:r w:rsidR="001272CA">
        <w:rPr>
          <w:rFonts w:asciiTheme="minorHAnsi" w:hAnsiTheme="minorHAnsi" w:cstheme="minorHAnsi"/>
          <w:b/>
          <w:bCs/>
          <w:sz w:val="20"/>
          <w:lang w:val="en-GB"/>
        </w:rPr>
        <w:tab/>
      </w:r>
      <w:r w:rsidRPr="001F1480">
        <w:rPr>
          <w:rFonts w:asciiTheme="minorHAnsi" w:hAnsiTheme="minorHAnsi" w:cstheme="minorHAnsi"/>
          <w:b/>
          <w:bCs/>
          <w:sz w:val="20"/>
          <w:lang w:val="en-GB"/>
        </w:rPr>
        <w:t xml:space="preserve"> </w:t>
      </w:r>
      <w:r w:rsidR="001F1480" w:rsidRPr="001F1480">
        <w:rPr>
          <w:rFonts w:asciiTheme="minorHAnsi" w:hAnsiTheme="minorHAnsi" w:cstheme="minorHAnsi"/>
          <w:b/>
          <w:bCs/>
          <w:sz w:val="20"/>
          <w:lang w:val="en-GB"/>
        </w:rPr>
        <w:t>Miscellaneous confirmations</w:t>
      </w:r>
    </w:p>
    <w:p w14:paraId="66669D7D" w14:textId="77777777" w:rsidR="00622C66" w:rsidRPr="00622C66" w:rsidRDefault="00622C66" w:rsidP="00622C66">
      <w:pPr>
        <w:pStyle w:val="Listeavsnitt"/>
        <w:spacing w:after="240"/>
        <w:ind w:left="360"/>
        <w:rPr>
          <w:rFonts w:asciiTheme="minorHAnsi" w:hAnsiTheme="minorHAnsi" w:cstheme="minorHAnsi"/>
          <w:sz w:val="20"/>
          <w:lang w:val="en-GB"/>
        </w:rPr>
      </w:pPr>
    </w:p>
    <w:p w14:paraId="07D5B731" w14:textId="0736243E" w:rsidR="000A303C" w:rsidRPr="000A303C" w:rsidRDefault="000A303C" w:rsidP="004B544D">
      <w:pPr>
        <w:pStyle w:val="Listeavsnitt"/>
        <w:numPr>
          <w:ilvl w:val="0"/>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CE1854E" w14:textId="77777777" w:rsidR="000A303C" w:rsidRPr="000A303C" w:rsidRDefault="000A303C" w:rsidP="000A303C">
      <w:pPr>
        <w:pStyle w:val="Listeavsnitt"/>
        <w:spacing w:after="240"/>
        <w:ind w:left="360"/>
        <w:rPr>
          <w:rFonts w:asciiTheme="minorHAnsi" w:hAnsiTheme="minorHAnsi" w:cstheme="minorHAnsi"/>
          <w:sz w:val="20"/>
          <w:lang w:val="en-GB"/>
        </w:rPr>
      </w:pPr>
    </w:p>
    <w:p w14:paraId="62C3C525"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xml:space="preserve">], the Client has conducted its operations in a normal manner and there has been no event that has or could have, individually or in the aggregate, a material adverse effect on the current or future business, assets, liabilities, financial </w:t>
      </w:r>
      <w:proofErr w:type="gramStart"/>
      <w:r w:rsidRPr="000A303C">
        <w:rPr>
          <w:rFonts w:asciiTheme="minorHAnsi" w:hAnsiTheme="minorHAnsi" w:cstheme="minorHAnsi"/>
          <w:sz w:val="20"/>
          <w:lang w:val="en-GB"/>
        </w:rPr>
        <w:t>position</w:t>
      </w:r>
      <w:proofErr w:type="gramEnd"/>
      <w:r w:rsidRPr="000A303C">
        <w:rPr>
          <w:rFonts w:asciiTheme="minorHAnsi" w:hAnsiTheme="minorHAnsi" w:cstheme="minorHAnsi"/>
          <w:sz w:val="20"/>
          <w:lang w:val="en-GB"/>
        </w:rPr>
        <w:t xml:space="preserve"> or prospects of the Client. The Client is not aware of any matters currently existing that are likely to lead to any such material adverse effect.</w:t>
      </w:r>
    </w:p>
    <w:p w14:paraId="0B6F050B" w14:textId="77777777" w:rsidR="005E5CD8" w:rsidRPr="000A303C" w:rsidRDefault="005E5CD8" w:rsidP="005E5CD8">
      <w:pPr>
        <w:pStyle w:val="Listeavsnitt"/>
        <w:spacing w:after="240"/>
        <w:ind w:left="720"/>
        <w:rPr>
          <w:rFonts w:asciiTheme="minorHAnsi" w:hAnsiTheme="minorHAnsi" w:cstheme="minorHAnsi"/>
          <w:sz w:val="20"/>
          <w:lang w:val="en-GB"/>
        </w:rPr>
      </w:pPr>
    </w:p>
    <w:p w14:paraId="3D21405A" w14:textId="77777777" w:rsidR="005168A0" w:rsidRDefault="005168A0"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does not have any material off balance sheet financing, </w:t>
      </w:r>
      <w:proofErr w:type="gramStart"/>
      <w:r w:rsidRPr="000A303C">
        <w:rPr>
          <w:rFonts w:asciiTheme="minorHAnsi" w:hAnsiTheme="minorHAnsi" w:cstheme="minorHAnsi"/>
          <w:sz w:val="20"/>
          <w:lang w:val="en-GB"/>
        </w:rPr>
        <w:t>investment</w:t>
      </w:r>
      <w:proofErr w:type="gramEnd"/>
      <w:r w:rsidRPr="000A303C">
        <w:rPr>
          <w:rFonts w:asciiTheme="minorHAnsi" w:hAnsiTheme="minorHAnsi" w:cstheme="minorHAnsi"/>
          <w:sz w:val="20"/>
          <w:lang w:val="en-GB"/>
        </w:rPr>
        <w:t xml:space="preserve"> or other liability</w:t>
      </w:r>
      <w:r>
        <w:rPr>
          <w:rFonts w:asciiTheme="minorHAnsi" w:hAnsiTheme="minorHAnsi" w:cstheme="minorHAnsi"/>
          <w:sz w:val="20"/>
          <w:lang w:val="en-GB"/>
        </w:rPr>
        <w:t>.</w:t>
      </w:r>
    </w:p>
    <w:p w14:paraId="3FAE8FDE" w14:textId="77777777" w:rsidR="008B4931" w:rsidRPr="00EC04B6" w:rsidRDefault="008B4931" w:rsidP="00EC04B6">
      <w:pPr>
        <w:pStyle w:val="Listeavsnitt"/>
        <w:rPr>
          <w:rFonts w:asciiTheme="minorHAnsi" w:hAnsiTheme="minorHAnsi" w:cstheme="minorHAnsi"/>
          <w:sz w:val="20"/>
          <w:lang w:val="en-GB"/>
        </w:rPr>
      </w:pPr>
    </w:p>
    <w:p w14:paraId="26D202F4" w14:textId="77777777" w:rsidR="008B4931" w:rsidRDefault="008B4931" w:rsidP="004B544D">
      <w:pPr>
        <w:pStyle w:val="Listeavsnitt"/>
        <w:numPr>
          <w:ilvl w:val="1"/>
          <w:numId w:val="40"/>
        </w:numPr>
        <w:spacing w:after="240"/>
        <w:rPr>
          <w:rFonts w:asciiTheme="minorHAnsi" w:hAnsiTheme="minorHAnsi" w:cstheme="minorHAnsi"/>
          <w:sz w:val="20"/>
          <w:lang w:val="en-GB"/>
        </w:rPr>
      </w:pPr>
      <w:r w:rsidRPr="008B4931">
        <w:rPr>
          <w:rFonts w:asciiTheme="minorHAnsi" w:hAnsiTheme="minorHAnsi" w:cstheme="minorHAnsi"/>
          <w:sz w:val="20"/>
          <w:lang w:val="en-GB"/>
        </w:rPr>
        <w:t>The Client has full ownership rights to all material assets that are inc</w:t>
      </w:r>
      <w:r>
        <w:rPr>
          <w:rFonts w:asciiTheme="minorHAnsi" w:hAnsiTheme="minorHAnsi" w:cstheme="minorHAnsi"/>
          <w:sz w:val="20"/>
          <w:lang w:val="en-GB"/>
        </w:rPr>
        <w:t xml:space="preserve">luded as owned in the Financial </w:t>
      </w:r>
      <w:r w:rsidRPr="008B4931">
        <w:rPr>
          <w:rFonts w:asciiTheme="minorHAnsi" w:hAnsiTheme="minorHAnsi" w:cstheme="minorHAnsi"/>
          <w:sz w:val="20"/>
          <w:lang w:val="en-GB"/>
        </w:rPr>
        <w:t xml:space="preserve">Statements (except for assets sold </w:t>
      </w:r>
      <w:proofErr w:type="gramStart"/>
      <w:r w:rsidRPr="008B4931">
        <w:rPr>
          <w:rFonts w:asciiTheme="minorHAnsi" w:hAnsiTheme="minorHAnsi" w:cstheme="minorHAnsi"/>
          <w:sz w:val="20"/>
          <w:lang w:val="en-GB"/>
        </w:rPr>
        <w:t>subsequent to</w:t>
      </w:r>
      <w:proofErr w:type="gramEnd"/>
      <w:r w:rsidRPr="008B4931">
        <w:rPr>
          <w:rFonts w:asciiTheme="minorHAnsi" w:hAnsiTheme="minorHAnsi" w:cstheme="minorHAnsi"/>
          <w:sz w:val="20"/>
          <w:lang w:val="en-GB"/>
        </w:rPr>
        <w:t xml:space="preserve"> the relevant balance sheet dates), and all cha</w:t>
      </w:r>
      <w:r>
        <w:rPr>
          <w:rFonts w:asciiTheme="minorHAnsi" w:hAnsiTheme="minorHAnsi" w:cstheme="minorHAnsi"/>
          <w:sz w:val="20"/>
          <w:lang w:val="en-GB"/>
        </w:rPr>
        <w:t xml:space="preserve">rges </w:t>
      </w:r>
      <w:r w:rsidRPr="008B4931">
        <w:rPr>
          <w:rFonts w:asciiTheme="minorHAnsi" w:hAnsiTheme="minorHAnsi" w:cstheme="minorHAnsi"/>
          <w:sz w:val="20"/>
          <w:lang w:val="en-GB"/>
        </w:rPr>
        <w:t>on such assets that shall be referred to in these Financial Stateme</w:t>
      </w:r>
      <w:r>
        <w:rPr>
          <w:rFonts w:asciiTheme="minorHAnsi" w:hAnsiTheme="minorHAnsi" w:cstheme="minorHAnsi"/>
          <w:sz w:val="20"/>
          <w:lang w:val="en-GB"/>
        </w:rPr>
        <w:t xml:space="preserve">nts in accordance with relevant </w:t>
      </w:r>
      <w:r w:rsidRPr="008B4931">
        <w:rPr>
          <w:rFonts w:asciiTheme="minorHAnsi" w:hAnsiTheme="minorHAnsi" w:cstheme="minorHAnsi"/>
          <w:sz w:val="20"/>
          <w:lang w:val="en-GB"/>
        </w:rPr>
        <w:t>legislation and accounting principles have been referred to in the Financial Statements.</w:t>
      </w:r>
    </w:p>
    <w:p w14:paraId="61C8132B" w14:textId="77777777" w:rsidR="005168A0" w:rsidRDefault="005168A0" w:rsidP="005E5CD8">
      <w:pPr>
        <w:pStyle w:val="Listeavsnitt"/>
        <w:spacing w:after="240"/>
        <w:ind w:left="720"/>
        <w:rPr>
          <w:rFonts w:asciiTheme="minorHAnsi" w:hAnsiTheme="minorHAnsi" w:cstheme="minorHAnsi"/>
          <w:sz w:val="20"/>
          <w:lang w:val="en-GB"/>
        </w:rPr>
      </w:pPr>
    </w:p>
    <w:p w14:paraId="5394523B" w14:textId="77777777" w:rsidR="000A303C" w:rsidRDefault="00361906"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 xml:space="preserve">the Client's business is owned or licensed by the Client, is lawfully used and, if owned, is </w:t>
      </w:r>
      <w:proofErr w:type="gramStart"/>
      <w:r w:rsidR="000A303C" w:rsidRPr="000A303C">
        <w:rPr>
          <w:rFonts w:asciiTheme="minorHAnsi" w:hAnsiTheme="minorHAnsi" w:cstheme="minorHAnsi"/>
          <w:sz w:val="20"/>
          <w:lang w:val="en-GB"/>
        </w:rPr>
        <w:t>patented</w:t>
      </w:r>
      <w:proofErr w:type="gramEnd"/>
      <w:r w:rsidR="000A303C" w:rsidRPr="000A303C">
        <w:rPr>
          <w:rFonts w:asciiTheme="minorHAnsi" w:hAnsiTheme="minorHAnsi" w:cstheme="minorHAnsi"/>
          <w:sz w:val="20"/>
          <w:lang w:val="en-GB"/>
        </w:rPr>
        <w:t xml:space="preserve"> or otherwise sufficiently protected.</w:t>
      </w:r>
    </w:p>
    <w:p w14:paraId="7C2373B4" w14:textId="77777777" w:rsidR="003A41D3" w:rsidRPr="00E83E5C" w:rsidRDefault="003A41D3" w:rsidP="00E83E5C">
      <w:pPr>
        <w:pStyle w:val="Listeavsnitt"/>
        <w:rPr>
          <w:rFonts w:asciiTheme="minorHAnsi" w:hAnsiTheme="minorHAnsi" w:cstheme="minorHAnsi"/>
          <w:sz w:val="20"/>
          <w:lang w:val="en-GB"/>
        </w:rPr>
      </w:pPr>
    </w:p>
    <w:p w14:paraId="771AAB29" w14:textId="77777777" w:rsidR="003A41D3" w:rsidRPr="00E83E5C" w:rsidRDefault="003A41D3"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the Bonds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55253DF4" w14:textId="77777777" w:rsidR="005E5CD8" w:rsidRPr="000A303C" w:rsidRDefault="005E5CD8" w:rsidP="005E5CD8">
      <w:pPr>
        <w:pStyle w:val="Listeavsnitt"/>
        <w:spacing w:after="240"/>
        <w:ind w:left="720"/>
        <w:rPr>
          <w:rFonts w:asciiTheme="minorHAnsi" w:hAnsiTheme="minorHAnsi" w:cstheme="minorHAnsi"/>
          <w:sz w:val="20"/>
          <w:lang w:val="en-GB"/>
        </w:rPr>
      </w:pPr>
    </w:p>
    <w:p w14:paraId="10C68F70"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involved in any legal dispute that is relevant for the evaluation of the Client or the Bonds and the Client is not aware of any circumstances that are reasonably likely to lead to such dispute.</w:t>
      </w:r>
    </w:p>
    <w:p w14:paraId="2C796E57" w14:textId="77777777" w:rsidR="000A303C" w:rsidRPr="000A303C" w:rsidRDefault="000A303C" w:rsidP="005E5CD8">
      <w:pPr>
        <w:pStyle w:val="Listeavsnitt"/>
        <w:spacing w:after="240"/>
        <w:ind w:left="720"/>
        <w:rPr>
          <w:rFonts w:asciiTheme="minorHAnsi" w:hAnsiTheme="minorHAnsi" w:cstheme="minorHAnsi"/>
          <w:sz w:val="20"/>
          <w:lang w:val="en-GB"/>
        </w:rPr>
      </w:pPr>
    </w:p>
    <w:p w14:paraId="498AD15A"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6D8E4A0D" w14:textId="77777777" w:rsidR="000A303C" w:rsidRPr="000A303C" w:rsidRDefault="000A303C" w:rsidP="005E5CD8">
      <w:pPr>
        <w:pStyle w:val="Listeavsnitt"/>
        <w:spacing w:after="240"/>
        <w:ind w:left="720"/>
        <w:rPr>
          <w:rFonts w:asciiTheme="minorHAnsi" w:hAnsiTheme="minorHAnsi" w:cstheme="minorHAnsi"/>
          <w:sz w:val="20"/>
          <w:lang w:val="en-GB"/>
        </w:rPr>
      </w:pPr>
    </w:p>
    <w:p w14:paraId="06BBC532" w14:textId="77777777" w:rsidR="009B13FD" w:rsidRDefault="00FA5D9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 xml:space="preserve">he Client has adequate insurance coverage for damages and liability that may occur, in line with what is customary for a group of its size, business and </w:t>
      </w:r>
      <w:proofErr w:type="gramStart"/>
      <w:r w:rsidR="000A303C" w:rsidRPr="000A303C">
        <w:rPr>
          <w:rFonts w:asciiTheme="minorHAnsi" w:hAnsiTheme="minorHAnsi" w:cstheme="minorHAnsi"/>
          <w:sz w:val="20"/>
          <w:lang w:val="en-GB"/>
        </w:rPr>
        <w:t>operations</w:t>
      </w:r>
      <w:r w:rsidR="00A924DF">
        <w:rPr>
          <w:rFonts w:asciiTheme="minorHAnsi" w:hAnsiTheme="minorHAnsi" w:cstheme="minorHAnsi"/>
          <w:sz w:val="20"/>
          <w:lang w:val="en-GB"/>
        </w:rPr>
        <w:t>;</w:t>
      </w:r>
      <w:proofErr w:type="gramEnd"/>
    </w:p>
    <w:p w14:paraId="6C88B500" w14:textId="77777777" w:rsidR="005E5CD8" w:rsidRPr="00856D25" w:rsidRDefault="005E5CD8" w:rsidP="005E5CD8">
      <w:pPr>
        <w:pStyle w:val="Listeavsnitt"/>
        <w:spacing w:after="240"/>
        <w:ind w:left="720"/>
        <w:rPr>
          <w:rFonts w:asciiTheme="minorHAnsi" w:hAnsiTheme="minorHAnsi" w:cstheme="minorHAnsi"/>
          <w:sz w:val="20"/>
          <w:lang w:val="en-GB"/>
        </w:rPr>
      </w:pPr>
    </w:p>
    <w:p w14:paraId="5394B6C9"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r w:rsidR="00361906">
        <w:rPr>
          <w:rFonts w:asciiTheme="minorHAnsi" w:hAnsiTheme="minorHAnsi" w:cstheme="minorHAnsi"/>
          <w:sz w:val="20"/>
          <w:lang w:val="en-GB"/>
        </w:rPr>
        <w:t xml:space="preserve"> </w:t>
      </w:r>
    </w:p>
    <w:p w14:paraId="0B352B8B" w14:textId="77777777" w:rsidR="0083618C" w:rsidRDefault="0083618C" w:rsidP="005E5CD8">
      <w:pPr>
        <w:pStyle w:val="Listeavsnitt"/>
        <w:spacing w:after="240"/>
        <w:ind w:left="720"/>
        <w:rPr>
          <w:rFonts w:asciiTheme="minorHAnsi" w:hAnsiTheme="minorHAnsi" w:cstheme="minorHAnsi"/>
          <w:sz w:val="20"/>
          <w:lang w:val="en-GB"/>
        </w:rPr>
      </w:pPr>
    </w:p>
    <w:p w14:paraId="11D423E7" w14:textId="77777777" w:rsidR="000A303C" w:rsidRDefault="0083618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lastRenderedPageBreak/>
        <w:t>N</w:t>
      </w:r>
      <w:r w:rsidRPr="0083618C">
        <w:rPr>
          <w:rFonts w:asciiTheme="minorHAnsi" w:hAnsiTheme="minorHAnsi" w:cstheme="minorHAnsi"/>
          <w:sz w:val="20"/>
          <w:lang w:val="en-GB"/>
        </w:rPr>
        <w:t xml:space="preserve">o decisions </w:t>
      </w:r>
      <w:r w:rsidR="003A41D3">
        <w:rPr>
          <w:rFonts w:asciiTheme="minorHAnsi" w:hAnsiTheme="minorHAnsi" w:cstheme="minorHAnsi"/>
          <w:sz w:val="20"/>
          <w:lang w:val="en-GB"/>
        </w:rPr>
        <w:t xml:space="preserve">or promises </w:t>
      </w:r>
      <w:r w:rsidRPr="0083618C">
        <w:rPr>
          <w:rFonts w:asciiTheme="minorHAnsi" w:hAnsiTheme="minorHAnsi" w:cstheme="minorHAnsi"/>
          <w:sz w:val="20"/>
          <w:lang w:val="en-GB"/>
        </w:rPr>
        <w:t xml:space="preserve">have been made which will imply changes to the </w:t>
      </w:r>
      <w:r>
        <w:rPr>
          <w:rFonts w:asciiTheme="minorHAnsi" w:hAnsiTheme="minorHAnsi" w:cstheme="minorHAnsi"/>
          <w:sz w:val="20"/>
          <w:lang w:val="en-GB"/>
        </w:rPr>
        <w:t>Client’s</w:t>
      </w:r>
      <w:r w:rsidRPr="0083618C">
        <w:rPr>
          <w:rFonts w:asciiTheme="minorHAnsi" w:hAnsiTheme="minorHAnsi" w:cstheme="minorHAnsi"/>
          <w:sz w:val="20"/>
          <w:lang w:val="en-GB"/>
        </w:rPr>
        <w:t xml:space="preserve"> share capital or ownership structure</w:t>
      </w:r>
      <w:r w:rsidR="00EC04B6">
        <w:rPr>
          <w:rFonts w:asciiTheme="minorHAnsi" w:hAnsiTheme="minorHAnsi" w:cstheme="minorHAnsi"/>
          <w:sz w:val="20"/>
          <w:lang w:val="en-GB"/>
        </w:rPr>
        <w:t xml:space="preserve"> </w:t>
      </w:r>
      <w:r w:rsidR="00EC04B6" w:rsidRPr="00EC04B6">
        <w:rPr>
          <w:rFonts w:asciiTheme="minorHAnsi" w:hAnsiTheme="minorHAnsi" w:cstheme="minorHAnsi"/>
          <w:sz w:val="20"/>
          <w:lang w:val="en-GB"/>
        </w:rPr>
        <w:t>as this is s</w:t>
      </w:r>
      <w:r w:rsidR="00EC04B6">
        <w:rPr>
          <w:rFonts w:asciiTheme="minorHAnsi" w:hAnsiTheme="minorHAnsi" w:cstheme="minorHAnsi"/>
          <w:sz w:val="20"/>
          <w:lang w:val="en-GB"/>
        </w:rPr>
        <w:t>et out in the Offering Material.</w:t>
      </w:r>
      <w:r w:rsidRPr="0083618C">
        <w:rPr>
          <w:rFonts w:asciiTheme="minorHAnsi" w:hAnsiTheme="minorHAnsi" w:cstheme="minorHAnsi"/>
          <w:sz w:val="20"/>
          <w:lang w:val="en-GB"/>
        </w:rPr>
        <w:t xml:space="preserve"> </w:t>
      </w:r>
    </w:p>
    <w:p w14:paraId="1272156F" w14:textId="77777777" w:rsidR="00B234D0" w:rsidRPr="0083618C" w:rsidRDefault="00B234D0" w:rsidP="005E5CD8">
      <w:pPr>
        <w:pStyle w:val="Listeavsnitt"/>
        <w:spacing w:after="240"/>
        <w:ind w:left="720"/>
        <w:rPr>
          <w:rFonts w:asciiTheme="minorHAnsi" w:hAnsiTheme="minorHAnsi" w:cstheme="minorHAnsi"/>
          <w:sz w:val="20"/>
          <w:lang w:val="en-GB"/>
        </w:rPr>
      </w:pPr>
    </w:p>
    <w:p w14:paraId="3DAD05DC"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EC04B6">
        <w:rPr>
          <w:rFonts w:asciiTheme="minorHAnsi" w:hAnsiTheme="minorHAnsi" w:cstheme="minorHAnsi"/>
          <w:sz w:val="20"/>
          <w:lang w:val="en-GB"/>
        </w:rPr>
        <w:t xml:space="preserve"> </w:t>
      </w:r>
      <w:r w:rsidR="00EC04B6" w:rsidRPr="00D806F6">
        <w:rPr>
          <w:rFonts w:asciiTheme="minorHAnsi" w:hAnsiTheme="minorHAnsi" w:cstheme="minorHAnsi"/>
          <w:sz w:val="20"/>
          <w:lang w:val="en-GB"/>
        </w:rPr>
        <w:t>and no n</w:t>
      </w:r>
      <w:r w:rsidR="00EC04B6">
        <w:rPr>
          <w:rFonts w:asciiTheme="minorHAnsi" w:hAnsiTheme="minorHAnsi" w:cstheme="minorHAnsi"/>
          <w:sz w:val="20"/>
          <w:lang w:val="en-GB"/>
        </w:rPr>
        <w:t xml:space="preserve">otices of default have been made </w:t>
      </w:r>
      <w:r w:rsidR="00EC04B6" w:rsidRPr="00D806F6">
        <w:rPr>
          <w:rFonts w:asciiTheme="minorHAnsi" w:hAnsiTheme="minorHAnsi" w:cstheme="minorHAnsi"/>
          <w:sz w:val="20"/>
          <w:lang w:val="en-GB"/>
        </w:rPr>
        <w:t>by</w:t>
      </w:r>
      <w:r w:rsidR="00EC04B6">
        <w:rPr>
          <w:rFonts w:asciiTheme="minorHAnsi" w:hAnsiTheme="minorHAnsi" w:cstheme="minorHAnsi"/>
          <w:sz w:val="20"/>
          <w:lang w:val="en-GB"/>
        </w:rPr>
        <w:t xml:space="preserve"> </w:t>
      </w:r>
      <w:r w:rsidR="00EC04B6" w:rsidRPr="00E92551">
        <w:rPr>
          <w:rFonts w:asciiTheme="minorHAnsi" w:hAnsiTheme="minorHAnsi" w:cstheme="minorHAnsi"/>
          <w:sz w:val="20"/>
          <w:lang w:val="en-GB"/>
        </w:rPr>
        <w:t>any of the Client's creditors under any exis</w:t>
      </w:r>
      <w:r w:rsidR="00EC04B6" w:rsidRPr="002B7F4E">
        <w:rPr>
          <w:rFonts w:asciiTheme="minorHAnsi" w:hAnsiTheme="minorHAnsi" w:cstheme="minorHAnsi"/>
          <w:sz w:val="20"/>
          <w:lang w:val="en-GB"/>
        </w:rPr>
        <w:t>ting indebtedness of the Client</w:t>
      </w:r>
      <w:r w:rsidRPr="000A303C">
        <w:rPr>
          <w:rFonts w:asciiTheme="minorHAnsi" w:hAnsiTheme="minorHAnsi" w:cstheme="minorHAnsi"/>
          <w:sz w:val="20"/>
          <w:lang w:val="en-GB"/>
        </w:rPr>
        <w:t>.</w:t>
      </w:r>
    </w:p>
    <w:p w14:paraId="31C6AE27" w14:textId="77777777" w:rsidR="000A303C" w:rsidRPr="000A303C" w:rsidRDefault="000A303C" w:rsidP="00856D25">
      <w:pPr>
        <w:pStyle w:val="Listeavsnitt"/>
        <w:ind w:left="360"/>
        <w:rPr>
          <w:rFonts w:asciiTheme="minorHAnsi" w:hAnsiTheme="minorHAnsi" w:cstheme="minorHAnsi"/>
          <w:sz w:val="20"/>
          <w:lang w:val="en-GB"/>
        </w:rPr>
      </w:pPr>
    </w:p>
    <w:p w14:paraId="2E13D0DB" w14:textId="585620FB"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to the Client's securities.]</w:t>
      </w:r>
      <w:r w:rsidR="00A924DF" w:rsidRPr="005E5CD8">
        <w:rPr>
          <w:rFonts w:asciiTheme="minorHAnsi" w:hAnsiTheme="minorHAnsi"/>
          <w:sz w:val="20"/>
          <w:vertAlign w:val="superscript"/>
        </w:rPr>
        <w:footnoteReference w:id="7"/>
      </w:r>
    </w:p>
    <w:p w14:paraId="36FDC994" w14:textId="77777777" w:rsidR="00F10E1F" w:rsidRDefault="00F10E1F" w:rsidP="00F10E1F">
      <w:pPr>
        <w:ind w:left="360"/>
        <w:rPr>
          <w:rFonts w:ascii="Arial" w:hAnsi="Arial" w:cs="Arial"/>
          <w:sz w:val="20"/>
          <w:lang w:val="en-US"/>
        </w:rPr>
      </w:pPr>
      <w:r>
        <w:rPr>
          <w:rFonts w:ascii="Arial" w:hAnsi="Arial" w:cs="Arial"/>
          <w:sz w:val="20"/>
          <w:lang w:val="en-US"/>
        </w:rPr>
        <w:t>m)</w:t>
      </w:r>
      <w:r>
        <w:rPr>
          <w:rFonts w:ascii="Arial" w:hAnsi="Arial" w:cs="Arial"/>
          <w:sz w:val="20"/>
          <w:lang w:val="en-US"/>
        </w:rPr>
        <w:tab/>
      </w:r>
      <w:r w:rsidRPr="00F10E1F">
        <w:rPr>
          <w:rFonts w:ascii="Arial" w:hAnsi="Arial" w:cs="Arial"/>
          <w:sz w:val="20"/>
          <w:lang w:val="en-US"/>
        </w:rPr>
        <w:t>The Client, and each group company, conducts its business in all material respects in compliance</w:t>
      </w:r>
    </w:p>
    <w:p w14:paraId="39F8046F" w14:textId="1CD120AE" w:rsidR="00F10E1F" w:rsidRPr="00F10E1F" w:rsidRDefault="00F10E1F" w:rsidP="00F10E1F">
      <w:pPr>
        <w:ind w:left="708"/>
        <w:rPr>
          <w:rFonts w:ascii="Arial" w:hAnsi="Arial" w:cs="Arial"/>
          <w:sz w:val="20"/>
          <w:lang w:val="en-US"/>
        </w:rPr>
      </w:pPr>
      <w:r w:rsidRPr="00F10E1F">
        <w:rPr>
          <w:rFonts w:ascii="Arial" w:hAnsi="Arial" w:cs="Arial"/>
          <w:sz w:val="20"/>
          <w:lang w:val="en-US"/>
        </w:rPr>
        <w:t xml:space="preserve">with applicable laws and regulations, </w:t>
      </w:r>
      <w:proofErr w:type="gramStart"/>
      <w:r w:rsidRPr="00F10E1F">
        <w:rPr>
          <w:rFonts w:ascii="Arial" w:hAnsi="Arial" w:cs="Arial"/>
          <w:sz w:val="20"/>
          <w:lang w:val="en-US"/>
        </w:rPr>
        <w:t>rules</w:t>
      </w:r>
      <w:proofErr w:type="gramEnd"/>
      <w:r w:rsidRPr="00F10E1F">
        <w:rPr>
          <w:rFonts w:ascii="Arial" w:hAnsi="Arial" w:cs="Arial"/>
          <w:sz w:val="20"/>
          <w:lang w:val="en-US"/>
        </w:rPr>
        <w:t xml:space="preserve"> and requirements with respect to protection of personal data / data privacy, under, in particular, the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7ACEE79E" w14:textId="77777777" w:rsidR="00F10E1F" w:rsidRPr="00810F47" w:rsidRDefault="00F10E1F" w:rsidP="00F10E1F">
      <w:pPr>
        <w:pStyle w:val="Listeavsnitt"/>
        <w:ind w:left="360"/>
        <w:rPr>
          <w:rFonts w:ascii="Arial" w:eastAsiaTheme="minorHAnsi" w:hAnsi="Arial" w:cs="Arial"/>
          <w:sz w:val="20"/>
          <w:lang w:val="en-US"/>
        </w:rPr>
      </w:pPr>
    </w:p>
    <w:p w14:paraId="26ACDB86" w14:textId="77777777" w:rsidR="00F10E1F" w:rsidRDefault="00F10E1F" w:rsidP="00F10E1F">
      <w:pPr>
        <w:pStyle w:val="Listeavsnitt"/>
        <w:ind w:left="360"/>
        <w:rPr>
          <w:rFonts w:ascii="Arial" w:hAnsi="Arial" w:cs="Arial"/>
          <w:sz w:val="20"/>
          <w:lang w:val="en-US"/>
        </w:rPr>
      </w:pPr>
      <w:r>
        <w:rPr>
          <w:rFonts w:ascii="Arial" w:hAnsi="Arial" w:cs="Arial"/>
          <w:sz w:val="20"/>
          <w:lang w:val="en-US"/>
        </w:rPr>
        <w:t>n)</w:t>
      </w:r>
      <w:r>
        <w:rPr>
          <w:rFonts w:ascii="Arial" w:hAnsi="Arial" w:cs="Arial"/>
          <w:sz w:val="20"/>
          <w:lang w:val="en-US"/>
        </w:rPr>
        <w:tab/>
      </w:r>
      <w:r w:rsidRPr="00F10E1F">
        <w:rPr>
          <w:rFonts w:ascii="Arial" w:hAnsi="Arial" w:cs="Arial"/>
          <w:sz w:val="20"/>
          <w:lang w:val="en-US"/>
        </w:rPr>
        <w:t>The Client has made relevant assessments of cyber-security threats against the Client and its assets</w:t>
      </w:r>
    </w:p>
    <w:p w14:paraId="6E989BAC" w14:textId="6CCE37FF" w:rsidR="00F10E1F" w:rsidRDefault="00F10E1F" w:rsidP="00F10E1F">
      <w:pPr>
        <w:pStyle w:val="Listeavsnitt"/>
        <w:ind w:left="708"/>
        <w:rPr>
          <w:rFonts w:ascii="Arial" w:hAnsi="Arial" w:cs="Arial"/>
          <w:sz w:val="20"/>
          <w:lang w:val="en-US"/>
        </w:rPr>
      </w:pPr>
      <w:r w:rsidRPr="00F10E1F">
        <w:rPr>
          <w:rFonts w:ascii="Arial" w:hAnsi="Arial" w:cs="Arial"/>
          <w:sz w:val="20"/>
          <w:lang w:val="en-US"/>
        </w:rPr>
        <w:t xml:space="preserve">and has implemented appropriate measures </w:t>
      </w:r>
      <w:proofErr w:type="gramStart"/>
      <w:r w:rsidRPr="00F10E1F">
        <w:rPr>
          <w:rFonts w:ascii="Arial" w:hAnsi="Arial" w:cs="Arial"/>
          <w:sz w:val="20"/>
          <w:lang w:val="en-US"/>
        </w:rPr>
        <w:t>in order to</w:t>
      </w:r>
      <w:proofErr w:type="gramEnd"/>
      <w:r w:rsidRPr="00F10E1F">
        <w:rPr>
          <w:rFonts w:ascii="Arial" w:hAnsi="Arial" w:cs="Arial"/>
          <w:sz w:val="20"/>
          <w:lang w:val="en-US"/>
        </w:rPr>
        <w:t xml:space="preserve"> mitigate the risks for attacks. The Client has not experienced any cyber-attack which has led to loss of data, leakages of information, unauthorized access to information – which has led to, or may lead to, any material financial losses to the Client.</w:t>
      </w:r>
    </w:p>
    <w:p w14:paraId="3E472CE5" w14:textId="77777777" w:rsidR="003C7620" w:rsidRPr="00F10E1F" w:rsidRDefault="003C7620" w:rsidP="00F10E1F">
      <w:pPr>
        <w:pStyle w:val="Listeavsnitt"/>
        <w:ind w:left="708"/>
        <w:rPr>
          <w:rFonts w:ascii="Arial" w:hAnsi="Arial" w:cs="Arial"/>
          <w:sz w:val="20"/>
          <w:lang w:val="en-US"/>
        </w:rPr>
      </w:pPr>
    </w:p>
    <w:p w14:paraId="205B84FD" w14:textId="77CF770C" w:rsidR="000A303C" w:rsidRPr="0016388A" w:rsidRDefault="00F10E1F" w:rsidP="00AC4134">
      <w:pPr>
        <w:spacing w:after="240"/>
        <w:ind w:left="360"/>
        <w:rPr>
          <w:rFonts w:asciiTheme="minorHAnsi" w:hAnsiTheme="minorHAnsi" w:cstheme="minorHAnsi"/>
          <w:sz w:val="20"/>
          <w:lang w:val="en-US"/>
        </w:rPr>
      </w:pPr>
      <w:proofErr w:type="gramStart"/>
      <w:r>
        <w:rPr>
          <w:rFonts w:asciiTheme="minorHAnsi" w:hAnsiTheme="minorHAnsi" w:cstheme="minorHAnsi"/>
          <w:sz w:val="20"/>
          <w:lang w:val="en-GB"/>
        </w:rPr>
        <w:t>o)</w:t>
      </w:r>
      <w:r w:rsidR="000A303C" w:rsidRPr="00F10E1F">
        <w:rPr>
          <w:rFonts w:asciiTheme="minorHAnsi" w:hAnsiTheme="minorHAnsi" w:cstheme="minorHAnsi"/>
          <w:sz w:val="20"/>
          <w:lang w:val="en-GB"/>
        </w:rPr>
        <w:t>[</w:t>
      </w:r>
      <w:proofErr w:type="gramEnd"/>
      <w:r w:rsidR="000A303C" w:rsidRPr="00F10E1F">
        <w:rPr>
          <w:rFonts w:asciiTheme="minorHAnsi" w:hAnsiTheme="minorHAnsi" w:cstheme="minorHAnsi"/>
          <w:sz w:val="20"/>
          <w:lang w:val="en-GB"/>
        </w:rPr>
        <w:t>●]</w:t>
      </w:r>
      <w:r w:rsidR="00A924DF" w:rsidRPr="005E5CD8">
        <w:rPr>
          <w:vertAlign w:val="superscript"/>
        </w:rPr>
        <w:footnoteReference w:id="8"/>
      </w:r>
    </w:p>
    <w:p w14:paraId="7209914F" w14:textId="77777777" w:rsidR="00577A40" w:rsidRPr="00EC04B6" w:rsidRDefault="000A303C" w:rsidP="000A303C">
      <w:pPr>
        <w:spacing w:after="240"/>
        <w:rPr>
          <w:rFonts w:asciiTheme="minorHAnsi" w:hAnsiTheme="minorHAnsi" w:cstheme="minorHAnsi"/>
          <w:sz w:val="20"/>
          <w:lang w:val="en-GB"/>
        </w:rPr>
      </w:pPr>
      <w:r w:rsidRPr="00577A40">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p>
    <w:p w14:paraId="741874C3" w14:textId="77777777" w:rsidR="00EC04B6" w:rsidRDefault="00EC04B6" w:rsidP="00EC04B6">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694460C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367B48" w:rsidRPr="00367B48">
        <w:rPr>
          <w:rFonts w:asciiTheme="minorHAnsi" w:hAnsiTheme="minorHAnsi" w:cstheme="minorHAnsi"/>
          <w:sz w:val="20"/>
          <w:lang w:val="en-GB"/>
        </w:rPr>
        <w:t xml:space="preserve">the governing law </w:t>
      </w:r>
      <w:r w:rsidR="00367B48">
        <w:rPr>
          <w:rFonts w:asciiTheme="minorHAnsi" w:hAnsiTheme="minorHAnsi" w:cstheme="minorHAnsi"/>
          <w:sz w:val="20"/>
          <w:lang w:val="en-GB"/>
        </w:rPr>
        <w:t xml:space="preserve">and </w:t>
      </w:r>
      <w:r w:rsidRPr="000A303C">
        <w:rPr>
          <w:rFonts w:asciiTheme="minorHAnsi" w:hAnsiTheme="minorHAnsi" w:cstheme="minorHAnsi"/>
          <w:sz w:val="20"/>
          <w:lang w:val="en-GB"/>
        </w:rPr>
        <w:t>dispute resolution provisions in the Engagement Letter.</w:t>
      </w:r>
    </w:p>
    <w:p w14:paraId="7F41FA46" w14:textId="77777777" w:rsidR="00C07443" w:rsidRDefault="00C07443" w:rsidP="00C07443">
      <w:pPr>
        <w:spacing w:after="160" w:line="259" w:lineRule="auto"/>
        <w:rPr>
          <w:rFonts w:asciiTheme="minorHAnsi" w:hAnsiTheme="minorHAnsi" w:cstheme="minorHAnsi"/>
          <w:sz w:val="20"/>
          <w:lang w:val="en-GB"/>
        </w:rPr>
      </w:pPr>
    </w:p>
    <w:p w14:paraId="212B47EB" w14:textId="77777777" w:rsidR="000A303C" w:rsidRPr="000A303C" w:rsidRDefault="003A5671" w:rsidP="00EC04B6">
      <w:pPr>
        <w:spacing w:after="160" w:line="259" w:lineRule="auto"/>
        <w:rPr>
          <w:rFonts w:asciiTheme="minorHAnsi" w:hAnsiTheme="minorHAnsi" w:cstheme="minorHAnsi"/>
          <w:sz w:val="20"/>
          <w:lang w:val="en-GB"/>
        </w:rPr>
      </w:pP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sidR="000A303C" w:rsidRPr="000A303C">
        <w:rPr>
          <w:rFonts w:asciiTheme="minorHAnsi" w:hAnsiTheme="minorHAnsi" w:cstheme="minorHAnsi"/>
          <w:sz w:val="20"/>
          <w:lang w:val="en-GB"/>
        </w:rPr>
        <w:t>[</w:t>
      </w:r>
      <w:r w:rsidR="000A303C" w:rsidRPr="000A303C">
        <w:rPr>
          <w:rFonts w:asciiTheme="minorHAnsi" w:hAnsiTheme="minorHAnsi" w:cstheme="minorHAnsi"/>
          <w:i/>
          <w:sz w:val="20"/>
          <w:lang w:val="en-GB"/>
        </w:rPr>
        <w:t>place</w:t>
      </w:r>
      <w:r w:rsidR="000A303C" w:rsidRPr="000A303C">
        <w:rPr>
          <w:rFonts w:asciiTheme="minorHAnsi" w:hAnsiTheme="minorHAnsi" w:cstheme="minorHAnsi"/>
          <w:sz w:val="20"/>
          <w:lang w:val="en-GB"/>
        </w:rPr>
        <w:t>], [</w:t>
      </w:r>
      <w:r w:rsidR="000A303C" w:rsidRPr="000A303C">
        <w:rPr>
          <w:rFonts w:asciiTheme="minorHAnsi" w:hAnsiTheme="minorHAnsi" w:cstheme="minorHAnsi"/>
          <w:i/>
          <w:sz w:val="20"/>
          <w:lang w:val="en-GB"/>
        </w:rPr>
        <w:t>date</w:t>
      </w:r>
      <w:r w:rsidR="000A303C" w:rsidRPr="000A303C">
        <w:rPr>
          <w:rFonts w:asciiTheme="minorHAnsi" w:hAnsiTheme="minorHAnsi" w:cstheme="minorHAnsi"/>
          <w:sz w:val="20"/>
          <w:lang w:val="en-GB"/>
        </w:rPr>
        <w:t>]</w:t>
      </w:r>
    </w:p>
    <w:p w14:paraId="1472B8D9"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9"/>
      </w:r>
    </w:p>
    <w:p w14:paraId="102A1256"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390E14E1" w14:textId="77777777" w:rsidR="00367B48" w:rsidRPr="00C07443" w:rsidRDefault="00367B48" w:rsidP="00EC04B6">
      <w:pPr>
        <w:spacing w:after="240" w:line="276" w:lineRule="auto"/>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68518E72" w14:textId="77777777" w:rsidTr="00F668CE">
        <w:trPr>
          <w:trHeight w:val="335"/>
        </w:trPr>
        <w:tc>
          <w:tcPr>
            <w:tcW w:w="2835" w:type="dxa"/>
            <w:tcBorders>
              <w:bottom w:val="single" w:sz="4" w:space="0" w:color="auto"/>
            </w:tcBorders>
          </w:tcPr>
          <w:p w14:paraId="6C43D8F2"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01E6BA9F"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0B921F3C"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7FC5007C"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3B09504"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7C4D7E06" w14:textId="77777777" w:rsidTr="00F668CE">
        <w:trPr>
          <w:trHeight w:val="335"/>
        </w:trPr>
        <w:tc>
          <w:tcPr>
            <w:tcW w:w="2835" w:type="dxa"/>
            <w:tcBorders>
              <w:top w:val="single" w:sz="4" w:space="0" w:color="auto"/>
            </w:tcBorders>
          </w:tcPr>
          <w:p w14:paraId="1BD29D02"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79DE1749" w14:textId="77777777" w:rsidR="000A303C" w:rsidRPr="00C07443" w:rsidRDefault="00A93FF7" w:rsidP="00F668CE">
            <w:pPr>
              <w:spacing w:line="276" w:lineRule="auto"/>
              <w:jc w:val="center"/>
              <w:rPr>
                <w:rFonts w:asciiTheme="minorHAnsi" w:hAnsiTheme="minorHAnsi" w:cstheme="minorHAnsi"/>
                <w:sz w:val="20"/>
                <w:lang w:val="en-US"/>
              </w:rPr>
            </w:pPr>
            <w:r w:rsidRPr="000A303C">
              <w:rPr>
                <w:rFonts w:asciiTheme="minorHAnsi" w:hAnsiTheme="minorHAnsi" w:cstheme="minorHAnsi"/>
                <w:sz w:val="20"/>
                <w:lang w:val="en-GB"/>
              </w:rPr>
              <w:t>(Chairman of the Board)</w:t>
            </w:r>
          </w:p>
        </w:tc>
        <w:tc>
          <w:tcPr>
            <w:tcW w:w="284" w:type="dxa"/>
          </w:tcPr>
          <w:p w14:paraId="58304940"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76EE4C" w14:textId="77777777" w:rsidR="000A303C" w:rsidRPr="00C07443" w:rsidRDefault="000A303C" w:rsidP="00F668CE">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0A0AF7B" w14:textId="77777777" w:rsidR="000A303C" w:rsidRPr="00C07443" w:rsidRDefault="00E0576D" w:rsidP="00D25820">
            <w:pPr>
              <w:spacing w:line="276" w:lineRule="auto"/>
              <w:jc w:val="center"/>
              <w:rPr>
                <w:rFonts w:asciiTheme="minorHAnsi" w:hAnsiTheme="minorHAnsi" w:cstheme="minorHAnsi"/>
                <w:sz w:val="20"/>
                <w:lang w:val="en-US"/>
              </w:rPr>
            </w:pPr>
            <w:r>
              <w:rPr>
                <w:rFonts w:asciiTheme="minorHAnsi" w:hAnsiTheme="minorHAnsi" w:cstheme="minorHAnsi"/>
                <w:sz w:val="20"/>
                <w:lang w:val="en-US" w:eastAsia="en-US"/>
              </w:rPr>
              <w:t>(CEO)</w:t>
            </w:r>
          </w:p>
        </w:tc>
        <w:tc>
          <w:tcPr>
            <w:tcW w:w="283" w:type="dxa"/>
          </w:tcPr>
          <w:p w14:paraId="4F78BB4E"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65B66CF6" w14:textId="77777777" w:rsidR="00A93FF7" w:rsidRPr="00C07443" w:rsidRDefault="00A93FF7" w:rsidP="00A93FF7">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27EFA1A" w14:textId="77777777" w:rsidR="000A303C" w:rsidRPr="000A303C" w:rsidRDefault="00E0576D" w:rsidP="00F668CE">
            <w:pPr>
              <w:spacing w:line="276" w:lineRule="auto"/>
              <w:jc w:val="center"/>
              <w:rPr>
                <w:rFonts w:asciiTheme="minorHAnsi" w:hAnsiTheme="minorHAnsi" w:cstheme="minorHAnsi"/>
                <w:sz w:val="20"/>
                <w:lang w:val="en-GB"/>
              </w:rPr>
            </w:pPr>
            <w:r>
              <w:rPr>
                <w:rFonts w:asciiTheme="minorHAnsi" w:hAnsiTheme="minorHAnsi" w:cstheme="minorHAnsi"/>
                <w:sz w:val="20"/>
                <w:lang w:val="en-US" w:eastAsia="en-US"/>
              </w:rPr>
              <w:t>(CFO)</w:t>
            </w:r>
          </w:p>
        </w:tc>
      </w:tr>
    </w:tbl>
    <w:p w14:paraId="43E8B06E" w14:textId="77777777" w:rsidR="00B729B9" w:rsidRPr="00EF69F9" w:rsidRDefault="00B729B9" w:rsidP="000121FF">
      <w:pPr>
        <w:rPr>
          <w:rStyle w:val="Sluttnotereferanse"/>
          <w:vertAlign w:val="baseline"/>
          <w:lang w:val="en-US"/>
        </w:rPr>
      </w:pPr>
    </w:p>
    <w:sectPr w:rsidR="00B729B9"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FA8A" w14:textId="77777777" w:rsidR="007B6E70" w:rsidRDefault="007B6E70" w:rsidP="000A303C">
      <w:pPr>
        <w:spacing w:line="240" w:lineRule="auto"/>
      </w:pPr>
      <w:r>
        <w:separator/>
      </w:r>
    </w:p>
  </w:endnote>
  <w:endnote w:type="continuationSeparator" w:id="0">
    <w:p w14:paraId="1CD98EDF" w14:textId="77777777" w:rsidR="007B6E70" w:rsidRDefault="007B6E70"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3243" w14:textId="77777777" w:rsidR="007B6E70" w:rsidRDefault="007B6E70" w:rsidP="000A303C">
      <w:pPr>
        <w:spacing w:line="240" w:lineRule="auto"/>
      </w:pPr>
      <w:r>
        <w:separator/>
      </w:r>
    </w:p>
  </w:footnote>
  <w:footnote w:type="continuationSeparator" w:id="0">
    <w:p w14:paraId="7DCE18F1" w14:textId="77777777" w:rsidR="007B6E70" w:rsidRDefault="007B6E70" w:rsidP="000A303C">
      <w:pPr>
        <w:spacing w:line="240" w:lineRule="auto"/>
      </w:pPr>
      <w:r>
        <w:continuationSeparator/>
      </w:r>
    </w:p>
  </w:footnote>
  <w:footnote w:id="1">
    <w:p w14:paraId="63995794" w14:textId="77777777" w:rsidR="00C77077" w:rsidRPr="00F10E1F" w:rsidRDefault="00C77077" w:rsidP="00C77077">
      <w:pPr>
        <w:rPr>
          <w:lang w:val="en-US"/>
        </w:rPr>
      </w:pPr>
      <w:r>
        <w:rPr>
          <w:rStyle w:val="Fotnotereferanse"/>
        </w:rPr>
        <w:footnoteRef/>
      </w:r>
      <w:r w:rsidRPr="00F10E1F">
        <w:rPr>
          <w:lang w:val="en-US"/>
        </w:rPr>
        <w:t xml:space="preserve"> </w:t>
      </w:r>
      <w:r w:rsidRPr="00C77077">
        <w:rPr>
          <w:rFonts w:asciiTheme="minorHAnsi" w:hAnsiTheme="minorHAnsi" w:cstheme="minorHAnsi"/>
          <w:b/>
          <w:bCs/>
          <w:i/>
          <w:iCs/>
          <w:sz w:val="16"/>
          <w:szCs w:val="16"/>
          <w:lang w:val="en-US"/>
        </w:rPr>
        <w:t>NTD: 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2">
    <w:p w14:paraId="0CC1B770" w14:textId="77777777" w:rsidR="009B13FD" w:rsidRPr="00856D25" w:rsidRDefault="009B13FD">
      <w:pPr>
        <w:pStyle w:val="Fotnotetekst"/>
        <w:rPr>
          <w:b/>
          <w:i/>
          <w:lang w:val="en-US"/>
        </w:rPr>
      </w:pPr>
      <w:r w:rsidRPr="00856D25">
        <w:rPr>
          <w:rStyle w:val="Fotnotereferanse"/>
          <w:b/>
          <w:i/>
        </w:rPr>
        <w:footnoteRef/>
      </w:r>
      <w:r w:rsidRPr="00856D25">
        <w:rPr>
          <w:b/>
          <w:i/>
          <w:lang w:val="en-US"/>
        </w:rPr>
        <w:t xml:space="preserve"> </w:t>
      </w:r>
      <w:r w:rsidRPr="00856D25">
        <w:rPr>
          <w:rFonts w:asciiTheme="minorHAnsi" w:hAnsiTheme="minorHAnsi" w:cstheme="minorHAnsi"/>
          <w:b/>
          <w:i/>
          <w:sz w:val="16"/>
          <w:szCs w:val="16"/>
          <w:lang w:val="en-US"/>
        </w:rPr>
        <w:t xml:space="preserve">NTD: To be adjusted </w:t>
      </w:r>
      <w:r w:rsidR="002B0BA0">
        <w:rPr>
          <w:rFonts w:asciiTheme="minorHAnsi" w:hAnsiTheme="minorHAnsi" w:cstheme="minorHAnsi"/>
          <w:b/>
          <w:i/>
          <w:sz w:val="16"/>
          <w:szCs w:val="16"/>
          <w:lang w:val="en-US"/>
        </w:rPr>
        <w:t xml:space="preserve">on a </w:t>
      </w:r>
      <w:proofErr w:type="gramStart"/>
      <w:r w:rsidR="002B0BA0">
        <w:rPr>
          <w:rFonts w:asciiTheme="minorHAnsi" w:hAnsiTheme="minorHAnsi" w:cstheme="minorHAnsi"/>
          <w:b/>
          <w:i/>
          <w:sz w:val="16"/>
          <w:szCs w:val="16"/>
          <w:lang w:val="en-US"/>
        </w:rPr>
        <w:t>case by case</w:t>
      </w:r>
      <w:proofErr w:type="gramEnd"/>
      <w:r w:rsidR="002B0BA0">
        <w:rPr>
          <w:rFonts w:asciiTheme="minorHAnsi" w:hAnsiTheme="minorHAnsi" w:cstheme="minorHAnsi"/>
          <w:b/>
          <w:i/>
          <w:sz w:val="16"/>
          <w:szCs w:val="16"/>
          <w:lang w:val="en-US"/>
        </w:rPr>
        <w:t xml:space="preserve"> basis </w:t>
      </w:r>
      <w:r w:rsidRPr="00856D25">
        <w:rPr>
          <w:rFonts w:asciiTheme="minorHAnsi" w:hAnsiTheme="minorHAnsi" w:cstheme="minorHAnsi"/>
          <w:b/>
          <w:i/>
          <w:sz w:val="16"/>
          <w:szCs w:val="16"/>
          <w:lang w:val="en-US"/>
        </w:rPr>
        <w:t>depending on</w:t>
      </w:r>
      <w:r w:rsidR="00C218B5" w:rsidRPr="00856D25">
        <w:rPr>
          <w:rFonts w:asciiTheme="minorHAnsi" w:hAnsiTheme="minorHAnsi" w:cstheme="minorHAnsi"/>
          <w:b/>
          <w:i/>
          <w:sz w:val="16"/>
          <w:szCs w:val="16"/>
          <w:lang w:val="en-US"/>
        </w:rPr>
        <w:t xml:space="preserve"> the</w:t>
      </w:r>
      <w:r w:rsidRPr="00856D25">
        <w:rPr>
          <w:rFonts w:asciiTheme="minorHAnsi" w:hAnsiTheme="minorHAnsi" w:cstheme="minorHAnsi"/>
          <w:b/>
          <w:i/>
          <w:sz w:val="16"/>
          <w:szCs w:val="16"/>
          <w:lang w:val="en-US"/>
        </w:rPr>
        <w:t xml:space="preserve"> type of transaction (e.g. acquisition financings)</w:t>
      </w:r>
    </w:p>
  </w:footnote>
  <w:footnote w:id="3">
    <w:p w14:paraId="7EA70206"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4">
    <w:p w14:paraId="6805A52D" w14:textId="77777777" w:rsidR="00F93389" w:rsidRPr="00EC04B6" w:rsidRDefault="00F93389">
      <w:pPr>
        <w:pStyle w:val="Fotnotetekst"/>
        <w:rPr>
          <w:lang w:val="en-US"/>
        </w:rPr>
      </w:pPr>
      <w:r w:rsidRPr="00EC04B6">
        <w:rPr>
          <w:rStyle w:val="Fotnotereferanse"/>
          <w:b/>
        </w:rPr>
        <w:footnoteRef/>
      </w:r>
      <w:r w:rsidRPr="00EC04B6">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5">
    <w:p w14:paraId="3B9E9912" w14:textId="77777777" w:rsidR="00F93389" w:rsidRPr="00EC04B6" w:rsidRDefault="00F93389">
      <w:pPr>
        <w:pStyle w:val="Fotnotetekst"/>
        <w:rPr>
          <w:lang w:val="en-US"/>
        </w:rPr>
      </w:pPr>
      <w:r w:rsidRPr="00EC04B6">
        <w:rPr>
          <w:rStyle w:val="Fotnotereferanse"/>
          <w:b/>
          <w:i/>
        </w:rPr>
        <w:footnoteRef/>
      </w:r>
      <w:r w:rsidRPr="00EC04B6">
        <w:rPr>
          <w:b/>
          <w:i/>
          <w:lang w:val="en-US"/>
        </w:rPr>
        <w:t xml:space="preserve"> </w:t>
      </w:r>
      <w:r>
        <w:rPr>
          <w:rFonts w:asciiTheme="minorHAnsi" w:hAnsiTheme="minorHAnsi" w:cstheme="minorHAnsi"/>
          <w:b/>
          <w:i/>
          <w:sz w:val="16"/>
          <w:szCs w:val="16"/>
          <w:lang w:val="en-US"/>
        </w:rPr>
        <w:t>NTD: To be included if there are risk factors in the Offering Material</w:t>
      </w:r>
    </w:p>
  </w:footnote>
  <w:footnote w:id="6">
    <w:p w14:paraId="4E632CB1" w14:textId="77777777" w:rsidR="00AA6326" w:rsidRPr="00856D25" w:rsidRDefault="00AA6326">
      <w:pPr>
        <w:pStyle w:val="Fotnotetekst"/>
        <w:rPr>
          <w:rFonts w:asciiTheme="minorHAnsi" w:hAnsiTheme="minorHAnsi" w:cstheme="minorHAnsi"/>
          <w: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w:t>
      </w:r>
      <w:r w:rsidR="00367B48">
        <w:rPr>
          <w:rFonts w:asciiTheme="minorHAnsi" w:hAnsiTheme="minorHAnsi" w:cstheme="minorHAnsi"/>
          <w:b/>
          <w:i/>
          <w:sz w:val="16"/>
          <w:szCs w:val="16"/>
          <w:lang w:val="en-US"/>
        </w:rPr>
        <w:t xml:space="preserve">The due diligence call should ideally be held at such time as to allow the Contractor to rectify findings and/or adequately reflect such findings in the Offering Material before it is used towards investors. The Completeness Statement should be signed prior to launch, and the Contractor may consider asking for reconfirmation by e-mail </w:t>
      </w:r>
      <w:r w:rsidR="00816912">
        <w:rPr>
          <w:rFonts w:asciiTheme="minorHAnsi" w:hAnsiTheme="minorHAnsi" w:cstheme="minorHAnsi"/>
          <w:b/>
          <w:i/>
          <w:sz w:val="16"/>
          <w:szCs w:val="16"/>
          <w:lang w:val="en-US"/>
        </w:rPr>
        <w:t xml:space="preserve">prior to </w:t>
      </w:r>
      <w:r w:rsidR="00367B48">
        <w:rPr>
          <w:rFonts w:asciiTheme="minorHAnsi" w:hAnsiTheme="minorHAnsi" w:cstheme="minorHAnsi"/>
          <w:b/>
          <w:i/>
          <w:sz w:val="16"/>
          <w:szCs w:val="16"/>
          <w:lang w:val="en-US"/>
        </w:rPr>
        <w:t xml:space="preserve">settlement. </w:t>
      </w:r>
      <w:r w:rsidR="00367B48" w:rsidRPr="00C23BA2">
        <w:rPr>
          <w:rFonts w:asciiTheme="minorHAnsi" w:hAnsiTheme="minorHAnsi" w:cstheme="minorHAnsi"/>
          <w:b/>
          <w:i/>
          <w:sz w:val="16"/>
          <w:szCs w:val="16"/>
          <w:lang w:val="en-US"/>
        </w:rPr>
        <w:t xml:space="preserve">The </w:t>
      </w:r>
      <w:r w:rsidR="00367B48" w:rsidRPr="006A678C">
        <w:rPr>
          <w:rFonts w:asciiTheme="minorHAnsi" w:hAnsiTheme="minorHAnsi" w:cstheme="minorHAnsi"/>
          <w:b/>
          <w:i/>
          <w:sz w:val="16"/>
          <w:szCs w:val="16"/>
          <w:lang w:val="en-US"/>
        </w:rPr>
        <w:t xml:space="preserve">Client </w:t>
      </w:r>
      <w:r w:rsidR="00367B48" w:rsidRPr="00C23BA2">
        <w:rPr>
          <w:rFonts w:asciiTheme="minorHAnsi" w:hAnsiTheme="minorHAnsi" w:cstheme="minorHAnsi"/>
          <w:b/>
          <w:i/>
          <w:sz w:val="16"/>
          <w:szCs w:val="16"/>
          <w:lang w:val="en-US"/>
        </w:rPr>
        <w:t xml:space="preserve">is also required to </w:t>
      </w:r>
      <w:r w:rsidR="00367B48" w:rsidRPr="006A678C">
        <w:rPr>
          <w:rFonts w:asciiTheme="minorHAnsi" w:hAnsiTheme="minorHAnsi" w:cstheme="minorHAnsi"/>
          <w:b/>
          <w:i/>
          <w:sz w:val="16"/>
          <w:szCs w:val="16"/>
          <w:lang w:val="en-US"/>
        </w:rPr>
        <w:t xml:space="preserve">notify the Contractor of any </w:t>
      </w:r>
      <w:r w:rsidR="00367B48" w:rsidRPr="00C23BA2">
        <w:rPr>
          <w:rFonts w:asciiTheme="minorHAnsi" w:hAnsiTheme="minorHAnsi" w:cstheme="minorHAnsi"/>
          <w:b/>
          <w:i/>
          <w:sz w:val="16"/>
          <w:szCs w:val="16"/>
          <w:lang w:val="en-US"/>
        </w:rPr>
        <w:t>change</w:t>
      </w:r>
      <w:r w:rsidR="003A5671">
        <w:rPr>
          <w:rFonts w:asciiTheme="minorHAnsi" w:hAnsiTheme="minorHAnsi" w:cstheme="minorHAnsi"/>
          <w:b/>
          <w:i/>
          <w:sz w:val="16"/>
          <w:szCs w:val="16"/>
          <w:lang w:val="en-US"/>
        </w:rPr>
        <w:t xml:space="preserve">s to the statements included </w:t>
      </w:r>
      <w:r w:rsidR="00577A40">
        <w:rPr>
          <w:rFonts w:asciiTheme="minorHAnsi" w:hAnsiTheme="minorHAnsi" w:cstheme="minorHAnsi"/>
          <w:b/>
          <w:i/>
          <w:sz w:val="16"/>
          <w:szCs w:val="16"/>
          <w:lang w:val="en-US"/>
        </w:rPr>
        <w:t xml:space="preserve">herein, </w:t>
      </w:r>
      <w:r w:rsidR="00EC04B6">
        <w:rPr>
          <w:rFonts w:asciiTheme="minorHAnsi" w:hAnsiTheme="minorHAnsi" w:cstheme="minorHAnsi"/>
          <w:b/>
          <w:i/>
          <w:sz w:val="16"/>
          <w:szCs w:val="16"/>
          <w:lang w:val="en-US"/>
        </w:rPr>
        <w:t>cf. page 5</w:t>
      </w:r>
      <w:r w:rsidR="00577A40" w:rsidRPr="00577A40">
        <w:rPr>
          <w:rFonts w:asciiTheme="minorHAnsi" w:hAnsiTheme="minorHAnsi" w:cstheme="minorHAnsi"/>
          <w:b/>
          <w:i/>
          <w:sz w:val="16"/>
          <w:szCs w:val="16"/>
          <w:lang w:val="en-US"/>
        </w:rPr>
        <w:t xml:space="preserve"> of this Completeness Statement</w:t>
      </w:r>
    </w:p>
  </w:footnote>
  <w:footnote w:id="7">
    <w:p w14:paraId="4DB66462"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US"/>
        </w:rPr>
        <w:t>NTD: Relevant for issuers with listed securities</w:t>
      </w:r>
    </w:p>
  </w:footnote>
  <w:footnote w:id="8">
    <w:p w14:paraId="6935D486"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9">
    <w:p w14:paraId="5126F91D"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367B48">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always be signed (</w:t>
      </w:r>
      <w:proofErr w:type="spellStart"/>
      <w:r w:rsidR="00A93FF7" w:rsidRPr="00856D25">
        <w:rPr>
          <w:rFonts w:asciiTheme="minorHAnsi" w:hAnsiTheme="minorHAnsi" w:cstheme="minorHAnsi"/>
          <w:b/>
          <w:i/>
          <w:sz w:val="16"/>
          <w:szCs w:val="16"/>
          <w:lang w:val="en-US"/>
        </w:rPr>
        <w:t>i</w:t>
      </w:r>
      <w:proofErr w:type="spellEnd"/>
      <w:r w:rsidR="00A93FF7" w:rsidRPr="00856D25">
        <w:rPr>
          <w:rFonts w:asciiTheme="minorHAnsi" w:hAnsiTheme="minorHAnsi" w:cstheme="minorHAnsi"/>
          <w:b/>
          <w:i/>
          <w:sz w:val="16"/>
          <w:szCs w:val="16"/>
          <w:lang w:val="en-US"/>
        </w:rPr>
        <w:t xml:space="preserve">)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1540E2"/>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103A5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B034BF"/>
    <w:multiLevelType w:val="hybridMultilevel"/>
    <w:tmpl w:val="7D7C6B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7D2089"/>
    <w:multiLevelType w:val="multilevel"/>
    <w:tmpl w:val="AC024448"/>
    <w:numStyleLink w:val="ListLevelNumbering"/>
  </w:abstractNum>
  <w:abstractNum w:abstractNumId="22"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4"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15226E"/>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E9468CB"/>
    <w:multiLevelType w:val="multilevel"/>
    <w:tmpl w:val="AC024448"/>
    <w:numStyleLink w:val="ListLevelNumbering"/>
  </w:abstractNum>
  <w:abstractNum w:abstractNumId="29"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33389505">
    <w:abstractNumId w:val="8"/>
  </w:num>
  <w:num w:numId="2" w16cid:durableId="213741784">
    <w:abstractNumId w:val="3"/>
  </w:num>
  <w:num w:numId="3" w16cid:durableId="2022245344">
    <w:abstractNumId w:val="2"/>
  </w:num>
  <w:num w:numId="4" w16cid:durableId="1708797612">
    <w:abstractNumId w:val="1"/>
  </w:num>
  <w:num w:numId="5" w16cid:durableId="2028411739">
    <w:abstractNumId w:val="0"/>
  </w:num>
  <w:num w:numId="6" w16cid:durableId="1535777243">
    <w:abstractNumId w:val="9"/>
  </w:num>
  <w:num w:numId="7" w16cid:durableId="1537549706">
    <w:abstractNumId w:val="7"/>
  </w:num>
  <w:num w:numId="8" w16cid:durableId="853180356">
    <w:abstractNumId w:val="6"/>
  </w:num>
  <w:num w:numId="9" w16cid:durableId="1463235152">
    <w:abstractNumId w:val="5"/>
  </w:num>
  <w:num w:numId="10" w16cid:durableId="961493175">
    <w:abstractNumId w:val="4"/>
  </w:num>
  <w:num w:numId="11" w16cid:durableId="1344674618">
    <w:abstractNumId w:val="13"/>
  </w:num>
  <w:num w:numId="12" w16cid:durableId="1584492701">
    <w:abstractNumId w:val="24"/>
  </w:num>
  <w:num w:numId="13" w16cid:durableId="424688143">
    <w:abstractNumId w:val="29"/>
  </w:num>
  <w:num w:numId="14" w16cid:durableId="766998988">
    <w:abstractNumId w:val="12"/>
  </w:num>
  <w:num w:numId="15" w16cid:durableId="1068847142">
    <w:abstractNumId w:val="16"/>
  </w:num>
  <w:num w:numId="16" w16cid:durableId="1796020783">
    <w:abstractNumId w:val="10"/>
  </w:num>
  <w:num w:numId="17" w16cid:durableId="648171190">
    <w:abstractNumId w:val="19"/>
  </w:num>
  <w:num w:numId="18" w16cid:durableId="1645312450">
    <w:abstractNumId w:val="25"/>
  </w:num>
  <w:num w:numId="19" w16cid:durableId="1239250289">
    <w:abstractNumId w:val="27"/>
  </w:num>
  <w:num w:numId="20" w16cid:durableId="1214849315">
    <w:abstractNumId w:val="30"/>
  </w:num>
  <w:num w:numId="21" w16cid:durableId="701248845">
    <w:abstractNumId w:val="14"/>
  </w:num>
  <w:num w:numId="22" w16cid:durableId="1608611477">
    <w:abstractNumId w:val="15"/>
  </w:num>
  <w:num w:numId="23" w16cid:durableId="902065834">
    <w:abstractNumId w:val="9"/>
  </w:num>
  <w:num w:numId="24" w16cid:durableId="500895756">
    <w:abstractNumId w:val="8"/>
  </w:num>
  <w:num w:numId="25" w16cid:durableId="587858236">
    <w:abstractNumId w:val="7"/>
  </w:num>
  <w:num w:numId="26" w16cid:durableId="726952576">
    <w:abstractNumId w:val="6"/>
  </w:num>
  <w:num w:numId="27" w16cid:durableId="510264703">
    <w:abstractNumId w:val="5"/>
  </w:num>
  <w:num w:numId="28" w16cid:durableId="876546474">
    <w:abstractNumId w:val="4"/>
  </w:num>
  <w:num w:numId="29" w16cid:durableId="629211231">
    <w:abstractNumId w:val="3"/>
  </w:num>
  <w:num w:numId="30" w16cid:durableId="699208807">
    <w:abstractNumId w:val="2"/>
  </w:num>
  <w:num w:numId="31" w16cid:durableId="577207202">
    <w:abstractNumId w:val="0"/>
  </w:num>
  <w:num w:numId="32" w16cid:durableId="951980227">
    <w:abstractNumId w:val="23"/>
  </w:num>
  <w:num w:numId="33" w16cid:durableId="1324973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254491">
    <w:abstractNumId w:val="21"/>
  </w:num>
  <w:num w:numId="35" w16cid:durableId="77597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85628">
    <w:abstractNumId w:val="22"/>
  </w:num>
  <w:num w:numId="37" w16cid:durableId="1063453188">
    <w:abstractNumId w:val="18"/>
  </w:num>
  <w:num w:numId="38" w16cid:durableId="1702053536">
    <w:abstractNumId w:val="26"/>
  </w:num>
  <w:num w:numId="39" w16cid:durableId="1249382870">
    <w:abstractNumId w:val="11"/>
  </w:num>
  <w:num w:numId="40" w16cid:durableId="425031311">
    <w:abstractNumId w:val="17"/>
  </w:num>
  <w:num w:numId="41" w16cid:durableId="201327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21FF"/>
    <w:rsid w:val="00027752"/>
    <w:rsid w:val="00037576"/>
    <w:rsid w:val="00042C85"/>
    <w:rsid w:val="00044F51"/>
    <w:rsid w:val="0007064B"/>
    <w:rsid w:val="0008050F"/>
    <w:rsid w:val="000A303C"/>
    <w:rsid w:val="000E5786"/>
    <w:rsid w:val="000E66FA"/>
    <w:rsid w:val="00106E98"/>
    <w:rsid w:val="00126197"/>
    <w:rsid w:val="001272CA"/>
    <w:rsid w:val="00150F85"/>
    <w:rsid w:val="00151A35"/>
    <w:rsid w:val="00151AB0"/>
    <w:rsid w:val="0016388A"/>
    <w:rsid w:val="0017068D"/>
    <w:rsid w:val="00172C87"/>
    <w:rsid w:val="001858C9"/>
    <w:rsid w:val="001A5752"/>
    <w:rsid w:val="001A7A1F"/>
    <w:rsid w:val="001B4310"/>
    <w:rsid w:val="001D791F"/>
    <w:rsid w:val="001F1480"/>
    <w:rsid w:val="0020061C"/>
    <w:rsid w:val="00237A94"/>
    <w:rsid w:val="0025761F"/>
    <w:rsid w:val="00261E94"/>
    <w:rsid w:val="002674EB"/>
    <w:rsid w:val="00293675"/>
    <w:rsid w:val="002B0BA0"/>
    <w:rsid w:val="002C3218"/>
    <w:rsid w:val="002E10FC"/>
    <w:rsid w:val="002E1F78"/>
    <w:rsid w:val="002F5B8F"/>
    <w:rsid w:val="00327DE1"/>
    <w:rsid w:val="003341ED"/>
    <w:rsid w:val="0033505A"/>
    <w:rsid w:val="00361906"/>
    <w:rsid w:val="00367B48"/>
    <w:rsid w:val="00376062"/>
    <w:rsid w:val="003A41D3"/>
    <w:rsid w:val="003A5671"/>
    <w:rsid w:val="003B2A5C"/>
    <w:rsid w:val="003C7620"/>
    <w:rsid w:val="00410C54"/>
    <w:rsid w:val="00440DD4"/>
    <w:rsid w:val="00443F57"/>
    <w:rsid w:val="00445F04"/>
    <w:rsid w:val="004472B3"/>
    <w:rsid w:val="0048264A"/>
    <w:rsid w:val="00487143"/>
    <w:rsid w:val="004A6425"/>
    <w:rsid w:val="004B544D"/>
    <w:rsid w:val="004C3A74"/>
    <w:rsid w:val="004E350B"/>
    <w:rsid w:val="004F6175"/>
    <w:rsid w:val="005168A0"/>
    <w:rsid w:val="00525CA2"/>
    <w:rsid w:val="00534836"/>
    <w:rsid w:val="005439EB"/>
    <w:rsid w:val="00566554"/>
    <w:rsid w:val="00574528"/>
    <w:rsid w:val="00577A40"/>
    <w:rsid w:val="005A75A2"/>
    <w:rsid w:val="005C0D58"/>
    <w:rsid w:val="005E035B"/>
    <w:rsid w:val="005E0430"/>
    <w:rsid w:val="005E5CD8"/>
    <w:rsid w:val="005E698A"/>
    <w:rsid w:val="005F2836"/>
    <w:rsid w:val="005F5C30"/>
    <w:rsid w:val="00622C66"/>
    <w:rsid w:val="006252D6"/>
    <w:rsid w:val="0064086C"/>
    <w:rsid w:val="00654BA7"/>
    <w:rsid w:val="00670301"/>
    <w:rsid w:val="006759ED"/>
    <w:rsid w:val="00677F82"/>
    <w:rsid w:val="006811B8"/>
    <w:rsid w:val="00687B61"/>
    <w:rsid w:val="00696AEF"/>
    <w:rsid w:val="006973B3"/>
    <w:rsid w:val="006C67CF"/>
    <w:rsid w:val="006F72FE"/>
    <w:rsid w:val="00713DF0"/>
    <w:rsid w:val="007207E0"/>
    <w:rsid w:val="00730411"/>
    <w:rsid w:val="00732C6B"/>
    <w:rsid w:val="00753055"/>
    <w:rsid w:val="007979EA"/>
    <w:rsid w:val="007B6E70"/>
    <w:rsid w:val="007E7439"/>
    <w:rsid w:val="00816912"/>
    <w:rsid w:val="0083618C"/>
    <w:rsid w:val="00846615"/>
    <w:rsid w:val="00856D25"/>
    <w:rsid w:val="00864F7A"/>
    <w:rsid w:val="00865189"/>
    <w:rsid w:val="008A37F6"/>
    <w:rsid w:val="008B4931"/>
    <w:rsid w:val="00915AD9"/>
    <w:rsid w:val="00925E85"/>
    <w:rsid w:val="009329EC"/>
    <w:rsid w:val="0094663E"/>
    <w:rsid w:val="009767E7"/>
    <w:rsid w:val="00976E86"/>
    <w:rsid w:val="00982E13"/>
    <w:rsid w:val="009A5345"/>
    <w:rsid w:val="009B13FD"/>
    <w:rsid w:val="009B5434"/>
    <w:rsid w:val="009B54E9"/>
    <w:rsid w:val="009B7251"/>
    <w:rsid w:val="009D3EF0"/>
    <w:rsid w:val="009E3FAD"/>
    <w:rsid w:val="00A117A4"/>
    <w:rsid w:val="00A13ED2"/>
    <w:rsid w:val="00A3339E"/>
    <w:rsid w:val="00A4004E"/>
    <w:rsid w:val="00A4042E"/>
    <w:rsid w:val="00A8398B"/>
    <w:rsid w:val="00A840E9"/>
    <w:rsid w:val="00A87B5D"/>
    <w:rsid w:val="00A9037B"/>
    <w:rsid w:val="00A924DF"/>
    <w:rsid w:val="00A93FF7"/>
    <w:rsid w:val="00AA209D"/>
    <w:rsid w:val="00AA3518"/>
    <w:rsid w:val="00AA6326"/>
    <w:rsid w:val="00AC4134"/>
    <w:rsid w:val="00AE305E"/>
    <w:rsid w:val="00AE6B0A"/>
    <w:rsid w:val="00B234D0"/>
    <w:rsid w:val="00B24971"/>
    <w:rsid w:val="00B50F1A"/>
    <w:rsid w:val="00B56B09"/>
    <w:rsid w:val="00B602E3"/>
    <w:rsid w:val="00B729B9"/>
    <w:rsid w:val="00B81116"/>
    <w:rsid w:val="00BA3229"/>
    <w:rsid w:val="00BB0AA8"/>
    <w:rsid w:val="00BC17C9"/>
    <w:rsid w:val="00BD4E2A"/>
    <w:rsid w:val="00BF0ABB"/>
    <w:rsid w:val="00C07443"/>
    <w:rsid w:val="00C07FED"/>
    <w:rsid w:val="00C2189B"/>
    <w:rsid w:val="00C218B5"/>
    <w:rsid w:val="00C2289E"/>
    <w:rsid w:val="00C45B16"/>
    <w:rsid w:val="00C45C67"/>
    <w:rsid w:val="00C70814"/>
    <w:rsid w:val="00C76857"/>
    <w:rsid w:val="00C77077"/>
    <w:rsid w:val="00C84BEC"/>
    <w:rsid w:val="00CF6BF9"/>
    <w:rsid w:val="00D038D4"/>
    <w:rsid w:val="00D0781B"/>
    <w:rsid w:val="00D12B29"/>
    <w:rsid w:val="00D233C5"/>
    <w:rsid w:val="00D25820"/>
    <w:rsid w:val="00DB1D45"/>
    <w:rsid w:val="00DB391E"/>
    <w:rsid w:val="00DB42D3"/>
    <w:rsid w:val="00DB6FB0"/>
    <w:rsid w:val="00DC058A"/>
    <w:rsid w:val="00DC25F5"/>
    <w:rsid w:val="00DE6CD7"/>
    <w:rsid w:val="00E0576D"/>
    <w:rsid w:val="00E21B5F"/>
    <w:rsid w:val="00E45B31"/>
    <w:rsid w:val="00E6295A"/>
    <w:rsid w:val="00E63708"/>
    <w:rsid w:val="00E67D20"/>
    <w:rsid w:val="00E81531"/>
    <w:rsid w:val="00E833EA"/>
    <w:rsid w:val="00E83E5C"/>
    <w:rsid w:val="00E83FE4"/>
    <w:rsid w:val="00E86A16"/>
    <w:rsid w:val="00EA50A7"/>
    <w:rsid w:val="00EC04B6"/>
    <w:rsid w:val="00EC4FE6"/>
    <w:rsid w:val="00EE43B7"/>
    <w:rsid w:val="00EF69F9"/>
    <w:rsid w:val="00F03328"/>
    <w:rsid w:val="00F10E1F"/>
    <w:rsid w:val="00F14552"/>
    <w:rsid w:val="00F4555D"/>
    <w:rsid w:val="00F56346"/>
    <w:rsid w:val="00F64865"/>
    <w:rsid w:val="00F655EB"/>
    <w:rsid w:val="00F70FE8"/>
    <w:rsid w:val="00F713B3"/>
    <w:rsid w:val="00F74CFD"/>
    <w:rsid w:val="00F87062"/>
    <w:rsid w:val="00F92C42"/>
    <w:rsid w:val="00F93389"/>
    <w:rsid w:val="00FA5D9C"/>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20B"/>
  <w15:docId w15:val="{E94B4985-A80A-43EF-A47A-FBD4CA9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paragraph" w:styleId="Revisjon">
    <w:name w:val="Revision"/>
    <w:hidden/>
    <w:uiPriority w:val="99"/>
    <w:semiHidden/>
    <w:rsid w:val="002E10FC"/>
    <w:rPr>
      <w:rFonts w:ascii="Times New Roman" w:eastAsia="Times New Roman" w:hAnsi="Times New Roman" w:cs="Times New Roman"/>
      <w:sz w:val="2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6935">
      <w:bodyDiv w:val="1"/>
      <w:marLeft w:val="0"/>
      <w:marRight w:val="0"/>
      <w:marTop w:val="0"/>
      <w:marBottom w:val="0"/>
      <w:divBdr>
        <w:top w:val="none" w:sz="0" w:space="0" w:color="auto"/>
        <w:left w:val="none" w:sz="0" w:space="0" w:color="auto"/>
        <w:bottom w:val="none" w:sz="0" w:space="0" w:color="auto"/>
        <w:right w:val="none" w:sz="0" w:space="0" w:color="auto"/>
      </w:divBdr>
    </w:div>
    <w:div w:id="5151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5" ma:contentTypeDescription="Opprett et nytt dokument." ma:contentTypeScope="" ma:versionID="16a0cc673a5cbcff8ba8b9d7af0e6fcf">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604a62c0325f25d94741097f85877e5c"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1C213-AA9F-43CE-93E9-2CEA8615E308}">
  <ds:schemaRefs>
    <ds:schemaRef ds:uri="http://schemas.openxmlformats.org/officeDocument/2006/bibliography"/>
  </ds:schemaRefs>
</ds:datastoreItem>
</file>

<file path=customXml/itemProps2.xml><?xml version="1.0" encoding="utf-8"?>
<ds:datastoreItem xmlns:ds="http://schemas.openxmlformats.org/officeDocument/2006/customXml" ds:itemID="{9D8E9C12-7C19-4D53-BE12-48BD3C267D9C}">
  <ds:schemaRefs>
    <ds:schemaRef ds:uri="http://schemas.microsoft.com/sharepoint/v3/contenttype/forms"/>
  </ds:schemaRefs>
</ds:datastoreItem>
</file>

<file path=customXml/itemProps3.xml><?xml version="1.0" encoding="utf-8"?>
<ds:datastoreItem xmlns:ds="http://schemas.openxmlformats.org/officeDocument/2006/customXml" ds:itemID="{427E3F76-1EA5-48C7-BDCF-372B9E25BE0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4.xml><?xml version="1.0" encoding="utf-8"?>
<ds:datastoreItem xmlns:ds="http://schemas.openxmlformats.org/officeDocument/2006/customXml" ds:itemID="{A1354F26-75FB-4489-A49A-003AD24AF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2449</Words>
  <Characters>12980</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5</cp:revision>
  <dcterms:created xsi:type="dcterms:W3CDTF">2022-09-21T06:05:00Z</dcterms:created>
  <dcterms:modified xsi:type="dcterms:W3CDTF">2022-09-21T06:11:00Z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